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073" w:type="dxa"/>
        <w:tblInd w:w="-32" w:type="dxa"/>
        <w:tblLayout w:type="fixed"/>
        <w:tblLook w:val="04A0" w:firstRow="1" w:lastRow="0" w:firstColumn="1" w:lastColumn="0" w:noHBand="0" w:noVBand="1"/>
      </w:tblPr>
      <w:tblGrid>
        <w:gridCol w:w="7403"/>
        <w:gridCol w:w="5670"/>
      </w:tblGrid>
      <w:tr w:rsidR="00C90675" w:rsidRPr="00C90675" w14:paraId="1F1E04B1" w14:textId="77777777" w:rsidTr="002205F5">
        <w:trPr>
          <w:trHeight w:val="1422"/>
        </w:trPr>
        <w:tc>
          <w:tcPr>
            <w:tcW w:w="7403" w:type="dxa"/>
          </w:tcPr>
          <w:p w14:paraId="17237EAF" w14:textId="70A298CF" w:rsidR="00657303" w:rsidRPr="00657303" w:rsidRDefault="00657303" w:rsidP="00657303">
            <w:pPr>
              <w:spacing w:after="0"/>
              <w:jc w:val="center"/>
              <w:rPr>
                <w:rFonts w:ascii="Times New Roman" w:hAnsi="Times New Roman" w:cs="Times New Roman"/>
                <w:bCs/>
                <w:color w:val="000000" w:themeColor="text1"/>
                <w:spacing w:val="-10"/>
                <w:w w:val="90"/>
                <w:sz w:val="28"/>
                <w:szCs w:val="28"/>
              </w:rPr>
            </w:pPr>
            <w:r w:rsidRPr="00657303">
              <w:rPr>
                <w:rFonts w:ascii="Times New Roman" w:hAnsi="Times New Roman" w:cs="Times New Roman"/>
                <w:bCs/>
                <w:color w:val="000000" w:themeColor="text1"/>
                <w:spacing w:val="-10"/>
                <w:w w:val="90"/>
                <w:sz w:val="28"/>
                <w:szCs w:val="28"/>
              </w:rPr>
              <w:t>UBND TỈNH AN GIANG</w:t>
            </w:r>
          </w:p>
          <w:p w14:paraId="36607329" w14:textId="57D69CA3" w:rsidR="00602317" w:rsidRPr="00657303" w:rsidRDefault="002205F5" w:rsidP="00657303">
            <w:pPr>
              <w:spacing w:after="0"/>
              <w:jc w:val="center"/>
              <w:rPr>
                <w:rFonts w:ascii="Times New Roman" w:hAnsi="Times New Roman" w:cs="Times New Roman"/>
                <w:b/>
                <w:color w:val="000000" w:themeColor="text1"/>
                <w:spacing w:val="-10"/>
                <w:w w:val="90"/>
                <w:sz w:val="28"/>
                <w:szCs w:val="28"/>
              </w:rPr>
            </w:pPr>
            <w:r w:rsidRPr="00657303">
              <w:rPr>
                <w:rFonts w:ascii="Times New Roman" w:hAnsi="Times New Roman" w:cs="Times New Roman"/>
                <w:b/>
                <w:noProof/>
                <w:color w:val="000000" w:themeColor="text1"/>
                <w:spacing w:val="-10"/>
                <w:sz w:val="28"/>
                <w:szCs w:val="28"/>
              </w:rPr>
              <mc:AlternateContent>
                <mc:Choice Requires="wps">
                  <w:drawing>
                    <wp:anchor distT="0" distB="0" distL="114300" distR="114300" simplePos="0" relativeHeight="251661312" behindDoc="0" locked="0" layoutInCell="1" allowOverlap="1" wp14:anchorId="33786143" wp14:editId="6D314204">
                      <wp:simplePos x="0" y="0"/>
                      <wp:positionH relativeFrom="column">
                        <wp:posOffset>1498762</wp:posOffset>
                      </wp:positionH>
                      <wp:positionV relativeFrom="paragraph">
                        <wp:posOffset>209550</wp:posOffset>
                      </wp:positionV>
                      <wp:extent cx="1564692"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5646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E9B099"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8pt,16.5pt" to="241.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" strokecolor="black [3213]" strokeweight=".5pt">
                      <v:stroke joinstyle="miter"/>
                    </v:line>
                  </w:pict>
                </mc:Fallback>
              </mc:AlternateContent>
            </w:r>
            <w:r w:rsidR="00657303">
              <w:rPr>
                <w:rFonts w:ascii="Times New Roman" w:hAnsi="Times New Roman" w:cs="Times New Roman"/>
                <w:b/>
                <w:color w:val="000000" w:themeColor="text1"/>
                <w:spacing w:val="-10"/>
                <w:w w:val="90"/>
                <w:sz w:val="28"/>
                <w:szCs w:val="28"/>
              </w:rPr>
              <w:t xml:space="preserve">SỞ </w:t>
            </w:r>
            <w:r w:rsidR="00602317" w:rsidRPr="00657303">
              <w:rPr>
                <w:rFonts w:ascii="Times New Roman" w:hAnsi="Times New Roman" w:cs="Times New Roman"/>
                <w:b/>
                <w:color w:val="000000" w:themeColor="text1"/>
                <w:spacing w:val="-10"/>
                <w:w w:val="90"/>
                <w:sz w:val="28"/>
                <w:szCs w:val="28"/>
              </w:rPr>
              <w:t>VĂN HÓA</w:t>
            </w:r>
            <w:r w:rsidR="00657303">
              <w:rPr>
                <w:rFonts w:ascii="Times New Roman" w:hAnsi="Times New Roman" w:cs="Times New Roman"/>
                <w:b/>
                <w:color w:val="000000" w:themeColor="text1"/>
                <w:spacing w:val="-10"/>
                <w:w w:val="90"/>
                <w:sz w:val="28"/>
                <w:szCs w:val="28"/>
              </w:rPr>
              <w:t xml:space="preserve"> VÀ </w:t>
            </w:r>
            <w:r w:rsidR="00602317" w:rsidRPr="00657303">
              <w:rPr>
                <w:rFonts w:ascii="Times New Roman" w:hAnsi="Times New Roman" w:cs="Times New Roman"/>
                <w:b/>
                <w:color w:val="000000" w:themeColor="text1"/>
                <w:spacing w:val="-10"/>
                <w:w w:val="90"/>
                <w:sz w:val="28"/>
                <w:szCs w:val="28"/>
              </w:rPr>
              <w:t>THỂ THAO</w:t>
            </w:r>
          </w:p>
          <w:p w14:paraId="2D2EAB83" w14:textId="77777777" w:rsidR="00602317" w:rsidRPr="00C90675" w:rsidRDefault="00602317" w:rsidP="006415E4">
            <w:pPr>
              <w:spacing w:before="120"/>
              <w:jc w:val="center"/>
              <w:rPr>
                <w:rFonts w:ascii="Times New Roman" w:hAnsi="Times New Roman" w:cs="Times New Roman"/>
                <w:b/>
                <w:color w:val="000000" w:themeColor="text1"/>
                <w:sz w:val="24"/>
                <w:szCs w:val="24"/>
              </w:rPr>
            </w:pPr>
          </w:p>
        </w:tc>
        <w:tc>
          <w:tcPr>
            <w:tcW w:w="5670" w:type="dxa"/>
          </w:tcPr>
          <w:p w14:paraId="72767C3B" w14:textId="77777777" w:rsidR="00602317" w:rsidRPr="00657303" w:rsidRDefault="00602317" w:rsidP="006415E4">
            <w:pPr>
              <w:spacing w:after="0" w:line="240" w:lineRule="auto"/>
              <w:jc w:val="center"/>
              <w:rPr>
                <w:rFonts w:ascii="Times New Roman" w:hAnsi="Times New Roman" w:cs="Times New Roman"/>
                <w:b/>
                <w:color w:val="000000" w:themeColor="text1"/>
                <w:spacing w:val="-10"/>
                <w:w w:val="95"/>
                <w:sz w:val="28"/>
                <w:szCs w:val="28"/>
              </w:rPr>
            </w:pPr>
            <w:r w:rsidRPr="00657303">
              <w:rPr>
                <w:rFonts w:ascii="Times New Roman" w:hAnsi="Times New Roman" w:cs="Times New Roman"/>
                <w:noProof/>
                <w:color w:val="000000" w:themeColor="text1"/>
                <w:sz w:val="28"/>
                <w:szCs w:val="28"/>
              </w:rPr>
              <mc:AlternateContent>
                <mc:Choice Requires="wps">
                  <w:drawing>
                    <wp:anchor distT="0" distB="0" distL="114300" distR="114300" simplePos="0" relativeHeight="251659264" behindDoc="0" locked="0" layoutInCell="1" allowOverlap="1" wp14:anchorId="1ACF13D2" wp14:editId="15382DE4">
                      <wp:simplePos x="0" y="0"/>
                      <wp:positionH relativeFrom="column">
                        <wp:posOffset>711200</wp:posOffset>
                      </wp:positionH>
                      <wp:positionV relativeFrom="paragraph">
                        <wp:posOffset>441960</wp:posOffset>
                      </wp:positionV>
                      <wp:extent cx="0" cy="0"/>
                      <wp:effectExtent l="6350" t="13335" r="12700"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2825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4.8pt" to="56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"/>
                  </w:pict>
                </mc:Fallback>
              </mc:AlternateContent>
            </w:r>
            <w:r w:rsidRPr="00657303">
              <w:rPr>
                <w:rFonts w:ascii="Times New Roman" w:hAnsi="Times New Roman" w:cs="Times New Roman"/>
                <w:b/>
                <w:color w:val="000000" w:themeColor="text1"/>
                <w:spacing w:val="-10"/>
                <w:w w:val="95"/>
                <w:sz w:val="28"/>
                <w:szCs w:val="28"/>
              </w:rPr>
              <w:t>CỘNG HÒA XÃ HỘI CHỦ NGHĨA VIỆT NAM</w:t>
            </w:r>
          </w:p>
          <w:p w14:paraId="4688D3C0" w14:textId="77777777" w:rsidR="00602317" w:rsidRPr="00657303" w:rsidRDefault="00602317" w:rsidP="006415E4">
            <w:pPr>
              <w:spacing w:after="0" w:line="240" w:lineRule="auto"/>
              <w:jc w:val="center"/>
              <w:rPr>
                <w:rFonts w:ascii="Times New Roman" w:hAnsi="Times New Roman" w:cs="Times New Roman"/>
                <w:b/>
                <w:color w:val="000000" w:themeColor="text1"/>
                <w:spacing w:val="-10"/>
                <w:w w:val="95"/>
                <w:sz w:val="28"/>
                <w:szCs w:val="28"/>
              </w:rPr>
            </w:pPr>
            <w:r w:rsidRPr="00657303">
              <w:rPr>
                <w:rFonts w:ascii="Times New Roman" w:hAnsi="Times New Roman" w:cs="Times New Roman"/>
                <w:b/>
                <w:color w:val="000000" w:themeColor="text1"/>
                <w:sz w:val="28"/>
                <w:szCs w:val="28"/>
              </w:rPr>
              <w:t>Độc lập - Tự do - Hạnh phúc</w:t>
            </w:r>
          </w:p>
          <w:p w14:paraId="0A305162" w14:textId="6C909DC2" w:rsidR="00602317" w:rsidRPr="00C90675" w:rsidRDefault="00602317" w:rsidP="006415E4">
            <w:pPr>
              <w:pStyle w:val="Heading1"/>
              <w:spacing w:before="240"/>
              <w:jc w:val="center"/>
              <w:rPr>
                <w:rFonts w:ascii="Times New Roman" w:hAnsi="Times New Roman"/>
                <w:color w:val="000000" w:themeColor="text1"/>
                <w:sz w:val="24"/>
                <w:szCs w:val="24"/>
              </w:rPr>
            </w:pPr>
            <w:r w:rsidRPr="00C90675">
              <w:rPr>
                <w:rFonts w:ascii="Times New Roman" w:hAnsi="Times New Roman"/>
                <w:noProof/>
                <w:color w:val="000000" w:themeColor="text1"/>
                <w:sz w:val="24"/>
                <w:szCs w:val="24"/>
              </w:rPr>
              <mc:AlternateContent>
                <mc:Choice Requires="wps">
                  <w:drawing>
                    <wp:anchor distT="0" distB="0" distL="114300" distR="114300" simplePos="0" relativeHeight="251660288" behindDoc="0" locked="0" layoutInCell="1" allowOverlap="1" wp14:anchorId="607522CF" wp14:editId="08C53E5D">
                      <wp:simplePos x="0" y="0"/>
                      <wp:positionH relativeFrom="column">
                        <wp:posOffset>680720</wp:posOffset>
                      </wp:positionH>
                      <wp:positionV relativeFrom="paragraph">
                        <wp:posOffset>19685</wp:posOffset>
                      </wp:positionV>
                      <wp:extent cx="2153920" cy="0"/>
                      <wp:effectExtent l="13970" t="13970" r="13335"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3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3DAB4F" id="_x0000_t32" coordsize="21600,21600" o:spt="32" o:oned="t" path="m,l21600,21600e" filled="f">
                      <v:path arrowok="t" fillok="f" o:connecttype="none"/>
                      <o:lock v:ext="edit" shapetype="t"/>
                    </v:shapetype>
                    <v:shape id="Straight Arrow Connector 1" o:spid="_x0000_s1026" type="#_x0000_t32" style="position:absolute;margin-left:53.6pt;margin-top:1.55pt;width:169.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"/>
                  </w:pict>
                </mc:Fallback>
              </mc:AlternateContent>
            </w:r>
            <w:r w:rsidR="00657303">
              <w:rPr>
                <w:rFonts w:ascii="Times New Roman" w:hAnsi="Times New Roman"/>
                <w:color w:val="000000" w:themeColor="text1"/>
                <w:sz w:val="24"/>
                <w:szCs w:val="24"/>
              </w:rPr>
              <w:t>An Giang</w:t>
            </w:r>
            <w:r w:rsidR="002205F5" w:rsidRPr="00C90675">
              <w:rPr>
                <w:rFonts w:ascii="Times New Roman" w:hAnsi="Times New Roman"/>
                <w:color w:val="000000" w:themeColor="text1"/>
                <w:sz w:val="24"/>
                <w:szCs w:val="24"/>
              </w:rPr>
              <w:t xml:space="preserve">, ngày       tháng </w:t>
            </w:r>
            <w:r w:rsidR="000A3069" w:rsidRPr="00C90675">
              <w:rPr>
                <w:rFonts w:ascii="Times New Roman" w:hAnsi="Times New Roman"/>
                <w:color w:val="000000" w:themeColor="text1"/>
                <w:sz w:val="24"/>
                <w:szCs w:val="24"/>
              </w:rPr>
              <w:t xml:space="preserve">  </w:t>
            </w:r>
            <w:r w:rsidR="002205F5" w:rsidRPr="00C90675">
              <w:rPr>
                <w:rFonts w:ascii="Times New Roman" w:hAnsi="Times New Roman"/>
                <w:color w:val="000000" w:themeColor="text1"/>
                <w:sz w:val="24"/>
                <w:szCs w:val="24"/>
              </w:rPr>
              <w:t xml:space="preserve"> </w:t>
            </w:r>
            <w:r w:rsidRPr="00C90675">
              <w:rPr>
                <w:rFonts w:ascii="Times New Roman" w:hAnsi="Times New Roman"/>
                <w:color w:val="000000" w:themeColor="text1"/>
                <w:sz w:val="24"/>
                <w:szCs w:val="24"/>
              </w:rPr>
              <w:t>năm 202</w:t>
            </w:r>
            <w:r w:rsidR="002205F5" w:rsidRPr="00C90675">
              <w:rPr>
                <w:rFonts w:ascii="Times New Roman" w:hAnsi="Times New Roman"/>
                <w:color w:val="000000" w:themeColor="text1"/>
                <w:sz w:val="24"/>
                <w:szCs w:val="24"/>
              </w:rPr>
              <w:t>6</w:t>
            </w:r>
          </w:p>
          <w:p w14:paraId="7AAECDE7" w14:textId="77777777" w:rsidR="00AB4F88" w:rsidRPr="00C90675" w:rsidRDefault="00AB4F88" w:rsidP="006415E4">
            <w:pPr>
              <w:jc w:val="center"/>
              <w:rPr>
                <w:rFonts w:ascii="Times New Roman" w:hAnsi="Times New Roman" w:cs="Times New Roman"/>
                <w:color w:val="000000" w:themeColor="text1"/>
                <w:sz w:val="24"/>
                <w:szCs w:val="24"/>
              </w:rPr>
            </w:pPr>
          </w:p>
        </w:tc>
      </w:tr>
    </w:tbl>
    <w:p w14:paraId="5DA6B1D2" w14:textId="13777897" w:rsidR="002205F5" w:rsidRPr="00902038" w:rsidRDefault="008E2226" w:rsidP="00902038">
      <w:pPr>
        <w:spacing w:after="0" w:line="240" w:lineRule="auto"/>
        <w:jc w:val="center"/>
        <w:rPr>
          <w:rFonts w:ascii="Times New Roman" w:hAnsi="Times New Roman" w:cs="Times New Roman"/>
          <w:b/>
          <w:color w:val="000000" w:themeColor="text1"/>
          <w:sz w:val="28"/>
          <w:szCs w:val="28"/>
        </w:rPr>
      </w:pPr>
      <w:r w:rsidRPr="00902038">
        <w:rPr>
          <w:rFonts w:ascii="Times New Roman" w:hAnsi="Times New Roman" w:cs="Times New Roman"/>
          <w:b/>
          <w:color w:val="000000" w:themeColor="text1"/>
          <w:sz w:val="28"/>
          <w:szCs w:val="28"/>
        </w:rPr>
        <w:t>BẢN SO SÁNH, THUYẾT MINH</w:t>
      </w:r>
    </w:p>
    <w:p w14:paraId="298B935A" w14:textId="7BB9B357" w:rsidR="00902038" w:rsidRPr="00902038" w:rsidRDefault="00902038" w:rsidP="00902038">
      <w:pPr>
        <w:spacing w:after="0" w:line="240" w:lineRule="auto"/>
        <w:jc w:val="center"/>
        <w:rPr>
          <w:rFonts w:ascii="Times New Roman" w:hAnsi="Times New Roman" w:cs="Times New Roman"/>
          <w:b/>
          <w:color w:val="000000" w:themeColor="text1"/>
          <w:sz w:val="28"/>
          <w:szCs w:val="28"/>
        </w:rPr>
      </w:pPr>
      <w:r w:rsidRPr="00902038">
        <w:rPr>
          <w:rFonts w:ascii="Times New Roman" w:hAnsi="Times New Roman" w:cs="Times New Roman"/>
          <w:b/>
          <w:color w:val="000000" w:themeColor="text1"/>
          <w:sz w:val="28"/>
          <w:szCs w:val="28"/>
        </w:rPr>
        <w:t>Dự thảo Quyết định Quy định định mức kinh tế - kỹ thuật dịch vụ sự nghiệp công sử dụng ngân sách nhà nước</w:t>
      </w:r>
    </w:p>
    <w:p w14:paraId="5F00B5FB" w14:textId="3240D1B4" w:rsidR="00602317" w:rsidRDefault="00902038" w:rsidP="00902038">
      <w:pPr>
        <w:spacing w:after="0" w:line="240" w:lineRule="auto"/>
        <w:jc w:val="center"/>
        <w:rPr>
          <w:rFonts w:ascii="Times New Roman" w:hAnsi="Times New Roman" w:cs="Times New Roman"/>
          <w:b/>
          <w:color w:val="000000" w:themeColor="text1"/>
          <w:sz w:val="28"/>
          <w:szCs w:val="28"/>
        </w:rPr>
      </w:pPr>
      <w:r w:rsidRPr="00902038">
        <w:rPr>
          <w:rFonts w:ascii="Times New Roman" w:hAnsi="Times New Roman" w:cs="Times New Roman"/>
          <w:b/>
          <w:color w:val="000000" w:themeColor="text1"/>
          <w:sz w:val="28"/>
          <w:szCs w:val="28"/>
        </w:rPr>
        <w:t>trong lĩnh vực phát thanh, truyền hình trên địa bàn tỉnh An Giang</w:t>
      </w:r>
    </w:p>
    <w:p w14:paraId="194DE528" w14:textId="74AE1C2D" w:rsidR="00902038" w:rsidRPr="00902038" w:rsidRDefault="00902038" w:rsidP="00902038">
      <w:pPr>
        <w:spacing w:before="120" w:after="120" w:line="240" w:lineRule="auto"/>
        <w:jc w:val="center"/>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rPr>
        <mc:AlternateContent>
          <mc:Choice Requires="wps">
            <w:drawing>
              <wp:anchor distT="0" distB="0" distL="114300" distR="114300" simplePos="0" relativeHeight="251662336" behindDoc="0" locked="0" layoutInCell="1" allowOverlap="1" wp14:anchorId="567BEC1F" wp14:editId="7234F14C">
                <wp:simplePos x="0" y="0"/>
                <wp:positionH relativeFrom="column">
                  <wp:posOffset>2919331</wp:posOffset>
                </wp:positionH>
                <wp:positionV relativeFrom="paragraph">
                  <wp:posOffset>17263</wp:posOffset>
                </wp:positionV>
                <wp:extent cx="2626242" cy="0"/>
                <wp:effectExtent l="0" t="0" r="0" b="0"/>
                <wp:wrapNone/>
                <wp:docPr id="429436706" name="Straight Connector 4"/>
                <wp:cNvGraphicFramePr/>
                <a:graphic xmlns:a="http://schemas.openxmlformats.org/drawingml/2006/main">
                  <a:graphicData uri="http://schemas.microsoft.com/office/word/2010/wordprocessingShape">
                    <wps:wsp>
                      <wps:cNvCnPr/>
                      <wps:spPr>
                        <a:xfrm>
                          <a:off x="0" y="0"/>
                          <a:ext cx="26262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99869B"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29.85pt,1.35pt" to="436.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" strokecolor="black [3200]" strokeweight=".5pt">
                <v:stroke joinstyle="miter"/>
              </v:line>
            </w:pict>
          </mc:Fallback>
        </mc:AlternateContent>
      </w:r>
    </w:p>
    <w:tbl>
      <w:tblPr>
        <w:tblStyle w:val="TableGrid"/>
        <w:tblW w:w="14524" w:type="dxa"/>
        <w:tblInd w:w="-690" w:type="dxa"/>
        <w:tblLook w:val="04A0" w:firstRow="1" w:lastRow="0" w:firstColumn="1" w:lastColumn="0" w:noHBand="0" w:noVBand="1"/>
      </w:tblPr>
      <w:tblGrid>
        <w:gridCol w:w="5246"/>
        <w:gridCol w:w="4961"/>
        <w:gridCol w:w="4317"/>
      </w:tblGrid>
      <w:tr w:rsidR="00C90675" w:rsidRPr="00C90675" w14:paraId="110F3906" w14:textId="77777777" w:rsidTr="000A4F3A">
        <w:tc>
          <w:tcPr>
            <w:tcW w:w="5246" w:type="dxa"/>
          </w:tcPr>
          <w:p w14:paraId="23500370" w14:textId="6DF8593B" w:rsidR="002205F5" w:rsidRPr="00234382" w:rsidRDefault="00AA161F" w:rsidP="000A3069">
            <w:pPr>
              <w:jc w:val="center"/>
              <w:rPr>
                <w:rFonts w:ascii="Times New Roman" w:hAnsi="Times New Roman" w:cs="Times New Roman"/>
                <w:b/>
                <w:color w:val="000000" w:themeColor="text1"/>
                <w:spacing w:val="-14"/>
                <w:sz w:val="24"/>
                <w:szCs w:val="24"/>
              </w:rPr>
            </w:pPr>
            <w:r w:rsidRPr="00234382">
              <w:rPr>
                <w:rFonts w:ascii="Times New Roman" w:hAnsi="Times New Roman" w:cs="Times New Roman"/>
                <w:b/>
                <w:iCs/>
                <w:color w:val="000000" w:themeColor="text1"/>
                <w:spacing w:val="-14"/>
                <w:sz w:val="24"/>
                <w:szCs w:val="24"/>
              </w:rPr>
              <w:t>Văn bản QPPL hiện hành</w:t>
            </w:r>
          </w:p>
        </w:tc>
        <w:tc>
          <w:tcPr>
            <w:tcW w:w="4961" w:type="dxa"/>
          </w:tcPr>
          <w:p w14:paraId="4FA0AD16" w14:textId="52DC8964" w:rsidR="002205F5" w:rsidRPr="00234382" w:rsidRDefault="00902038" w:rsidP="000A3069">
            <w:pPr>
              <w:jc w:val="center"/>
              <w:rPr>
                <w:rFonts w:ascii="Times New Roman" w:hAnsi="Times New Roman" w:cs="Times New Roman"/>
                <w:b/>
                <w:color w:val="000000" w:themeColor="text1"/>
                <w:sz w:val="24"/>
                <w:szCs w:val="24"/>
              </w:rPr>
            </w:pPr>
            <w:r w:rsidRPr="00234382">
              <w:rPr>
                <w:rFonts w:ascii="Times New Roman" w:hAnsi="Times New Roman" w:cs="Times New Roman"/>
                <w:b/>
                <w:color w:val="000000" w:themeColor="text1"/>
                <w:sz w:val="24"/>
                <w:szCs w:val="24"/>
              </w:rPr>
              <w:t>Dự thảo Quyết định</w:t>
            </w:r>
          </w:p>
        </w:tc>
        <w:tc>
          <w:tcPr>
            <w:tcW w:w="4317" w:type="dxa"/>
          </w:tcPr>
          <w:p w14:paraId="621D172E" w14:textId="77777777" w:rsidR="002205F5" w:rsidRPr="00234382" w:rsidRDefault="002205F5" w:rsidP="000A3069">
            <w:pPr>
              <w:jc w:val="center"/>
              <w:rPr>
                <w:rFonts w:ascii="Times New Roman" w:hAnsi="Times New Roman" w:cs="Times New Roman"/>
                <w:b/>
                <w:color w:val="000000" w:themeColor="text1"/>
                <w:sz w:val="24"/>
                <w:szCs w:val="24"/>
              </w:rPr>
            </w:pPr>
            <w:r w:rsidRPr="00234382">
              <w:rPr>
                <w:rFonts w:ascii="Times New Roman" w:hAnsi="Times New Roman" w:cs="Times New Roman"/>
                <w:b/>
                <w:color w:val="000000" w:themeColor="text1"/>
                <w:sz w:val="24"/>
                <w:szCs w:val="24"/>
              </w:rPr>
              <w:t>Thuyết minh</w:t>
            </w:r>
          </w:p>
        </w:tc>
      </w:tr>
      <w:tr w:rsidR="00C90675" w:rsidRPr="007278E2" w14:paraId="30F13CCA" w14:textId="77777777" w:rsidTr="000A4F3A">
        <w:tc>
          <w:tcPr>
            <w:tcW w:w="5246" w:type="dxa"/>
            <w:tcBorders>
              <w:bottom w:val="dashSmallGap" w:sz="4" w:space="0" w:color="auto"/>
            </w:tcBorders>
          </w:tcPr>
          <w:p w14:paraId="100B5195" w14:textId="4F91E11D" w:rsidR="003564DB" w:rsidRPr="00234382" w:rsidRDefault="003564DB" w:rsidP="00C36B03">
            <w:pPr>
              <w:spacing w:before="120"/>
              <w:jc w:val="both"/>
              <w:rPr>
                <w:rFonts w:ascii="Times New Roman" w:eastAsia="Times New Roman" w:hAnsi="Times New Roman" w:cs="Times New Roman"/>
                <w:bCs/>
                <w:iCs/>
                <w:color w:val="000000" w:themeColor="text1"/>
                <w:sz w:val="24"/>
                <w:szCs w:val="24"/>
              </w:rPr>
            </w:pPr>
          </w:p>
        </w:tc>
        <w:tc>
          <w:tcPr>
            <w:tcW w:w="4961" w:type="dxa"/>
            <w:tcBorders>
              <w:bottom w:val="dashSmallGap" w:sz="4" w:space="0" w:color="auto"/>
            </w:tcBorders>
          </w:tcPr>
          <w:p w14:paraId="1D456FA9" w14:textId="10D69F96" w:rsidR="003564DB" w:rsidRPr="00234382" w:rsidRDefault="00AA161F" w:rsidP="00C36B03">
            <w:pPr>
              <w:spacing w:before="120"/>
              <w:jc w:val="both"/>
              <w:rPr>
                <w:rFonts w:ascii="Times New Roman" w:eastAsia="Times New Roman" w:hAnsi="Times New Roman" w:cs="Times New Roman"/>
                <w:bCs/>
                <w:iCs/>
                <w:color w:val="000000" w:themeColor="text1"/>
                <w:sz w:val="24"/>
                <w:szCs w:val="24"/>
              </w:rPr>
            </w:pPr>
            <w:r w:rsidRPr="00234382">
              <w:rPr>
                <w:rFonts w:ascii="Times New Roman" w:eastAsia="Times New Roman" w:hAnsi="Times New Roman" w:cs="Times New Roman"/>
                <w:b/>
                <w:iCs/>
                <w:sz w:val="24"/>
                <w:szCs w:val="24"/>
              </w:rPr>
              <w:t>Điều 1</w:t>
            </w:r>
            <w:r w:rsidRPr="00234382">
              <w:rPr>
                <w:rFonts w:ascii="Times New Roman" w:eastAsia="Times New Roman" w:hAnsi="Times New Roman" w:cs="Times New Roman"/>
                <w:bCs/>
                <w:iCs/>
                <w:sz w:val="24"/>
                <w:szCs w:val="24"/>
              </w:rPr>
              <w:t>. Phạm vi điều chỉnh và đối tượng áp dụng</w:t>
            </w:r>
          </w:p>
        </w:tc>
        <w:tc>
          <w:tcPr>
            <w:tcW w:w="4317" w:type="dxa"/>
            <w:tcBorders>
              <w:bottom w:val="dashSmallGap" w:sz="4" w:space="0" w:color="auto"/>
            </w:tcBorders>
          </w:tcPr>
          <w:p w14:paraId="0BD97885" w14:textId="77777777" w:rsidR="003564DB" w:rsidRPr="00234382" w:rsidRDefault="003564DB" w:rsidP="00C36B03">
            <w:pPr>
              <w:spacing w:before="120"/>
              <w:jc w:val="both"/>
              <w:rPr>
                <w:rFonts w:ascii="Times New Roman" w:hAnsi="Times New Roman" w:cs="Times New Roman"/>
                <w:bCs/>
                <w:color w:val="000000" w:themeColor="text1"/>
                <w:sz w:val="24"/>
                <w:szCs w:val="24"/>
              </w:rPr>
            </w:pPr>
          </w:p>
        </w:tc>
      </w:tr>
      <w:tr w:rsidR="00C90675" w:rsidRPr="007278E2" w14:paraId="71FDD4D7" w14:textId="77777777" w:rsidTr="000A4F3A">
        <w:tc>
          <w:tcPr>
            <w:tcW w:w="5246" w:type="dxa"/>
            <w:tcBorders>
              <w:top w:val="dashSmallGap" w:sz="4" w:space="0" w:color="auto"/>
            </w:tcBorders>
          </w:tcPr>
          <w:p w14:paraId="26EF2829" w14:textId="5BEC0149" w:rsidR="00AA161F" w:rsidRPr="00234382" w:rsidRDefault="008D4DC9" w:rsidP="00783831">
            <w:pPr>
              <w:spacing w:before="120"/>
              <w:ind w:firstLine="570"/>
              <w:jc w:val="both"/>
              <w:rPr>
                <w:rFonts w:ascii="Times New Roman" w:eastAsia="Times New Roman" w:hAnsi="Times New Roman" w:cs="Times New Roman"/>
                <w:bCs/>
                <w:iCs/>
                <w:color w:val="000000" w:themeColor="text1"/>
                <w:sz w:val="24"/>
                <w:szCs w:val="24"/>
              </w:rPr>
            </w:pPr>
            <w:r w:rsidRPr="00234382">
              <w:rPr>
                <w:rFonts w:ascii="Times New Roman" w:hAnsi="Times New Roman" w:cs="Times New Roman"/>
                <w:bCs/>
                <w:sz w:val="24"/>
                <w:szCs w:val="24"/>
                <w:lang w:eastAsia="vi-VN"/>
              </w:rPr>
              <w:t>Quyết định số 11/2021/QĐ-UBND ngày 16/3/2021 của UBND tỉnh An Giang (trước sáp nhập</w:t>
            </w:r>
            <w:r>
              <w:rPr>
                <w:rFonts w:ascii="Times New Roman" w:hAnsi="Times New Roman" w:cs="Times New Roman"/>
                <w:bCs/>
                <w:sz w:val="24"/>
                <w:szCs w:val="24"/>
                <w:lang w:eastAsia="vi-VN"/>
              </w:rPr>
              <w:t>)</w:t>
            </w:r>
            <w:r w:rsidR="00AA161F" w:rsidRPr="00234382">
              <w:rPr>
                <w:rFonts w:ascii="Times New Roman" w:eastAsia="Times New Roman" w:hAnsi="Times New Roman" w:cs="Times New Roman"/>
                <w:bCs/>
                <w:iCs/>
                <w:color w:val="000000" w:themeColor="text1"/>
                <w:sz w:val="24"/>
                <w:szCs w:val="24"/>
              </w:rPr>
              <w:t xml:space="preserve">: Ban hành định mức </w:t>
            </w:r>
            <w:r w:rsidR="00783831" w:rsidRPr="00234382">
              <w:rPr>
                <w:rFonts w:ascii="Times New Roman" w:eastAsia="Times New Roman" w:hAnsi="Times New Roman" w:cs="Times New Roman"/>
                <w:bCs/>
                <w:iCs/>
                <w:sz w:val="24"/>
                <w:szCs w:val="24"/>
              </w:rPr>
              <w:t xml:space="preserve">kinh tế – kỹ thuật </w:t>
            </w:r>
            <w:r w:rsidR="00AA161F" w:rsidRPr="00234382">
              <w:rPr>
                <w:rFonts w:ascii="Times New Roman" w:eastAsia="Times New Roman" w:hAnsi="Times New Roman" w:cs="Times New Roman"/>
                <w:bCs/>
                <w:iCs/>
                <w:color w:val="000000" w:themeColor="text1"/>
                <w:sz w:val="24"/>
                <w:szCs w:val="24"/>
              </w:rPr>
              <w:t>sản xuất chương trình truyền hình.</w:t>
            </w:r>
          </w:p>
          <w:p w14:paraId="3FE486BC" w14:textId="266DDBEF" w:rsidR="00AA161F" w:rsidRPr="00234382" w:rsidRDefault="008D4DC9" w:rsidP="00783831">
            <w:pPr>
              <w:spacing w:before="120"/>
              <w:ind w:firstLine="570"/>
              <w:jc w:val="both"/>
              <w:rPr>
                <w:rFonts w:ascii="Times New Roman" w:eastAsia="Times New Roman" w:hAnsi="Times New Roman" w:cs="Times New Roman"/>
                <w:bCs/>
                <w:iCs/>
                <w:color w:val="000000" w:themeColor="text1"/>
                <w:sz w:val="24"/>
                <w:szCs w:val="24"/>
              </w:rPr>
            </w:pPr>
            <w:r w:rsidRPr="00234382">
              <w:rPr>
                <w:rFonts w:ascii="Times New Roman" w:hAnsi="Times New Roman" w:cs="Times New Roman"/>
                <w:bCs/>
                <w:sz w:val="24"/>
                <w:szCs w:val="24"/>
                <w:lang w:eastAsia="vi-VN"/>
              </w:rPr>
              <w:t>Quyết định số 643/QĐ-UBND ngày 08/3/2025 của UBND tỉnh Kiên Giang (trước sáp nhập)</w:t>
            </w:r>
            <w:r w:rsidR="00AA161F" w:rsidRPr="00234382">
              <w:rPr>
                <w:rFonts w:ascii="Times New Roman" w:eastAsia="Times New Roman" w:hAnsi="Times New Roman" w:cs="Times New Roman"/>
                <w:bCs/>
                <w:iCs/>
                <w:color w:val="000000" w:themeColor="text1"/>
                <w:sz w:val="24"/>
                <w:szCs w:val="24"/>
              </w:rPr>
              <w:t xml:space="preserve">: Ban hành định mức </w:t>
            </w:r>
            <w:r w:rsidR="00783831" w:rsidRPr="00234382">
              <w:rPr>
                <w:rFonts w:ascii="Times New Roman" w:eastAsia="Times New Roman" w:hAnsi="Times New Roman" w:cs="Times New Roman"/>
                <w:bCs/>
                <w:iCs/>
                <w:sz w:val="24"/>
                <w:szCs w:val="24"/>
              </w:rPr>
              <w:t xml:space="preserve">kinh tế – kỹ thuật </w:t>
            </w:r>
            <w:r w:rsidR="00AA161F" w:rsidRPr="00234382">
              <w:rPr>
                <w:rFonts w:ascii="Times New Roman" w:eastAsia="Times New Roman" w:hAnsi="Times New Roman" w:cs="Times New Roman"/>
                <w:bCs/>
                <w:iCs/>
                <w:color w:val="000000" w:themeColor="text1"/>
                <w:sz w:val="24"/>
                <w:szCs w:val="24"/>
              </w:rPr>
              <w:t>sản xuất chương trình phát thanh.</w:t>
            </w:r>
          </w:p>
          <w:p w14:paraId="5386D130" w14:textId="60D2027F" w:rsidR="007220FD" w:rsidRPr="00234382" w:rsidRDefault="008D4DC9" w:rsidP="00783831">
            <w:pPr>
              <w:spacing w:before="120"/>
              <w:ind w:firstLine="570"/>
              <w:jc w:val="both"/>
              <w:rPr>
                <w:rFonts w:ascii="Times New Roman" w:eastAsia="Times New Roman" w:hAnsi="Times New Roman" w:cs="Times New Roman"/>
                <w:bCs/>
                <w:color w:val="000000" w:themeColor="text1"/>
                <w:sz w:val="24"/>
                <w:szCs w:val="24"/>
              </w:rPr>
            </w:pPr>
            <w:r w:rsidRPr="00234382">
              <w:rPr>
                <w:rFonts w:ascii="Times New Roman" w:hAnsi="Times New Roman" w:cs="Times New Roman"/>
                <w:bCs/>
                <w:sz w:val="24"/>
                <w:szCs w:val="24"/>
                <w:lang w:eastAsia="vi-VN"/>
              </w:rPr>
              <w:t>Quyết định số 2470/QĐ-UBND ngày 21/10/2025</w:t>
            </w:r>
            <w:r>
              <w:rPr>
                <w:rFonts w:ascii="Times New Roman" w:hAnsi="Times New Roman" w:cs="Times New Roman"/>
                <w:bCs/>
                <w:sz w:val="24"/>
                <w:szCs w:val="24"/>
                <w:lang w:eastAsia="vi-VN"/>
              </w:rPr>
              <w:t xml:space="preserve"> của UBND tỉnh Kiên Giang (trước sáp nhập)</w:t>
            </w:r>
            <w:r w:rsidR="00AA161F" w:rsidRPr="00234382">
              <w:rPr>
                <w:rFonts w:ascii="Times New Roman" w:eastAsia="Times New Roman" w:hAnsi="Times New Roman" w:cs="Times New Roman"/>
                <w:bCs/>
                <w:iCs/>
                <w:color w:val="000000" w:themeColor="text1"/>
                <w:sz w:val="24"/>
                <w:szCs w:val="24"/>
              </w:rPr>
              <w:t xml:space="preserve">: Ban hành định mức </w:t>
            </w:r>
            <w:r w:rsidR="00783831" w:rsidRPr="00234382">
              <w:rPr>
                <w:rFonts w:ascii="Times New Roman" w:eastAsia="Times New Roman" w:hAnsi="Times New Roman" w:cs="Times New Roman"/>
                <w:bCs/>
                <w:iCs/>
                <w:sz w:val="24"/>
                <w:szCs w:val="24"/>
              </w:rPr>
              <w:t xml:space="preserve">kinh tế – kỹ thuật </w:t>
            </w:r>
            <w:r w:rsidR="00AA161F" w:rsidRPr="00234382">
              <w:rPr>
                <w:rFonts w:ascii="Times New Roman" w:eastAsia="Times New Roman" w:hAnsi="Times New Roman" w:cs="Times New Roman"/>
                <w:bCs/>
                <w:iCs/>
                <w:color w:val="000000" w:themeColor="text1"/>
                <w:sz w:val="24"/>
                <w:szCs w:val="24"/>
              </w:rPr>
              <w:t>sản xuất chương trình truyền hình.</w:t>
            </w:r>
          </w:p>
        </w:tc>
        <w:tc>
          <w:tcPr>
            <w:tcW w:w="4961" w:type="dxa"/>
            <w:tcBorders>
              <w:top w:val="dashSmallGap" w:sz="4" w:space="0" w:color="auto"/>
            </w:tcBorders>
          </w:tcPr>
          <w:p w14:paraId="41A280CD" w14:textId="77777777" w:rsidR="00AA161F" w:rsidRPr="00234382" w:rsidRDefault="00AA161F" w:rsidP="00AA161F">
            <w:pPr>
              <w:spacing w:before="120" w:after="120"/>
              <w:ind w:firstLine="582"/>
              <w:jc w:val="both"/>
              <w:rPr>
                <w:rFonts w:ascii="Times New Roman" w:eastAsia="Times New Roman" w:hAnsi="Times New Roman" w:cs="Times New Roman"/>
                <w:bCs/>
                <w:iCs/>
                <w:sz w:val="24"/>
                <w:szCs w:val="24"/>
              </w:rPr>
            </w:pPr>
            <w:r w:rsidRPr="00234382">
              <w:rPr>
                <w:rFonts w:ascii="Times New Roman" w:eastAsia="Times New Roman" w:hAnsi="Times New Roman" w:cs="Times New Roman"/>
                <w:bCs/>
                <w:iCs/>
                <w:sz w:val="24"/>
                <w:szCs w:val="24"/>
              </w:rPr>
              <w:t>1. Phạm vi điều chỉnh</w:t>
            </w:r>
          </w:p>
          <w:p w14:paraId="123417C9" w14:textId="77777777" w:rsidR="00AA161F" w:rsidRPr="00234382" w:rsidRDefault="00AA161F" w:rsidP="00AA161F">
            <w:pPr>
              <w:spacing w:before="120" w:after="120"/>
              <w:ind w:firstLine="582"/>
              <w:jc w:val="both"/>
              <w:rPr>
                <w:rFonts w:ascii="Times New Roman" w:eastAsia="Times New Roman" w:hAnsi="Times New Roman" w:cs="Times New Roman"/>
                <w:bCs/>
                <w:iCs/>
                <w:sz w:val="24"/>
                <w:szCs w:val="24"/>
              </w:rPr>
            </w:pPr>
            <w:r w:rsidRPr="00234382">
              <w:rPr>
                <w:rFonts w:ascii="Times New Roman" w:eastAsia="Times New Roman" w:hAnsi="Times New Roman" w:cs="Times New Roman"/>
                <w:bCs/>
                <w:iCs/>
                <w:sz w:val="24"/>
                <w:szCs w:val="24"/>
              </w:rPr>
              <w:t>Quy định này quy định định mức kinh tế – kỹ thuật dịch vụ sự nghiệp công sử dụng ngân sách nhà nước trong lĩnh vực phát thanh, truyền hình áp dụng trên địa bàn tỉnh An Giang.</w:t>
            </w:r>
          </w:p>
          <w:p w14:paraId="73812F4A" w14:textId="77777777" w:rsidR="00AA161F" w:rsidRPr="00234382" w:rsidRDefault="00AA161F" w:rsidP="00AA161F">
            <w:pPr>
              <w:spacing w:before="120" w:after="120"/>
              <w:ind w:firstLine="582"/>
              <w:jc w:val="both"/>
              <w:rPr>
                <w:rFonts w:ascii="Times New Roman" w:eastAsia="Times New Roman" w:hAnsi="Times New Roman" w:cs="Times New Roman"/>
                <w:bCs/>
                <w:iCs/>
                <w:sz w:val="24"/>
                <w:szCs w:val="24"/>
              </w:rPr>
            </w:pPr>
            <w:r w:rsidRPr="00234382">
              <w:rPr>
                <w:rFonts w:ascii="Times New Roman" w:eastAsia="Times New Roman" w:hAnsi="Times New Roman" w:cs="Times New Roman"/>
                <w:bCs/>
                <w:iCs/>
                <w:sz w:val="24"/>
                <w:szCs w:val="24"/>
              </w:rPr>
              <w:t>2. Đối tượng áp dụng</w:t>
            </w:r>
          </w:p>
          <w:p w14:paraId="3E002FB5" w14:textId="77777777" w:rsidR="00AA161F" w:rsidRPr="00234382" w:rsidRDefault="00AA161F" w:rsidP="00AA161F">
            <w:pPr>
              <w:spacing w:before="120" w:after="120"/>
              <w:ind w:firstLine="582"/>
              <w:jc w:val="both"/>
              <w:rPr>
                <w:rFonts w:ascii="Times New Roman" w:eastAsia="Times New Roman" w:hAnsi="Times New Roman" w:cs="Times New Roman"/>
                <w:bCs/>
                <w:iCs/>
                <w:sz w:val="24"/>
                <w:szCs w:val="24"/>
              </w:rPr>
            </w:pPr>
            <w:r w:rsidRPr="00234382">
              <w:rPr>
                <w:rFonts w:ascii="Times New Roman" w:eastAsia="Times New Roman" w:hAnsi="Times New Roman" w:cs="Times New Roman"/>
                <w:bCs/>
                <w:iCs/>
                <w:sz w:val="24"/>
                <w:szCs w:val="24"/>
              </w:rPr>
              <w:t>a) Các cơ quan nhà nước, đơn vị sự nghiệp công lập, cơ quan báo chí, tổ chức, cá nhân sử dụng ngân sách nhà nước để cung cấp dịch vụ sự nghiệp công trong lĩnh vực phát thanh, truyền hình trên địa bàn tỉnh An Giang.</w:t>
            </w:r>
          </w:p>
          <w:p w14:paraId="399D2CF4" w14:textId="2832F61E" w:rsidR="00E03816" w:rsidRPr="00234382" w:rsidRDefault="00AA161F" w:rsidP="00AA161F">
            <w:pPr>
              <w:spacing w:before="120"/>
              <w:ind w:firstLine="36"/>
              <w:jc w:val="both"/>
              <w:rPr>
                <w:rFonts w:ascii="Times New Roman" w:hAnsi="Times New Roman" w:cs="Times New Roman"/>
                <w:bCs/>
                <w:color w:val="000000" w:themeColor="text1"/>
                <w:sz w:val="24"/>
                <w:szCs w:val="24"/>
                <w:shd w:val="clear" w:color="auto" w:fill="FFFFFF"/>
              </w:rPr>
            </w:pPr>
            <w:r w:rsidRPr="00234382">
              <w:rPr>
                <w:rFonts w:ascii="Times New Roman" w:eastAsia="Times New Roman" w:hAnsi="Times New Roman" w:cs="Times New Roman"/>
                <w:bCs/>
                <w:iCs/>
                <w:sz w:val="24"/>
                <w:szCs w:val="24"/>
              </w:rPr>
              <w:t>b) Các cơ quan, tổ chức, cá nhân có liên quan đến việc xây dựng, thẩm định, quyết định giá, đơn giá; giao nhiệm vụ, đặt hàng; quản lý, sử dụng và thanh quyết toán kinh phí dịch vụ sự nghiệp công trong lĩnh vực phát thanh, truyền hình.</w:t>
            </w:r>
          </w:p>
        </w:tc>
        <w:tc>
          <w:tcPr>
            <w:tcW w:w="4317" w:type="dxa"/>
            <w:tcBorders>
              <w:top w:val="dashSmallGap" w:sz="4" w:space="0" w:color="auto"/>
            </w:tcBorders>
          </w:tcPr>
          <w:p w14:paraId="6893324E" w14:textId="7282AE6B" w:rsidR="007220FD" w:rsidRPr="00234382" w:rsidRDefault="00D8010C" w:rsidP="00C36B03">
            <w:pPr>
              <w:spacing w:before="120"/>
              <w:jc w:val="both"/>
              <w:rPr>
                <w:rFonts w:ascii="Times New Roman" w:hAnsi="Times New Roman" w:cs="Times New Roman"/>
                <w:bCs/>
                <w:color w:val="000000" w:themeColor="text1"/>
                <w:sz w:val="24"/>
                <w:szCs w:val="24"/>
              </w:rPr>
            </w:pPr>
            <w:r w:rsidRPr="00D8010C">
              <w:rPr>
                <w:rFonts w:ascii="Times New Roman" w:hAnsi="Times New Roman" w:cs="Times New Roman"/>
                <w:bCs/>
                <w:color w:val="000000" w:themeColor="text1"/>
                <w:sz w:val="24"/>
                <w:szCs w:val="24"/>
              </w:rPr>
              <w:t>Dự thảo Quyết định được xây dựng theo hướng ban hành văn bản mới quy định định mức kinh tế – kỹ thuật dịch vụ sự nghiệp công sử dụng ngân sách nhà nước trong lĩnh vực phát thanh, truyền hình áp dụng thống nhất trên địa bàn tỉnh An Giang sau sáp nhập. Nội dung quy định bảo đảm phù hợp với hệ thống pháp luật hiện hành về cung cấp dịch vụ sự nghiệp công và cụ thể hóa định mức kinh tế – kỹ thuật do Bộ Văn hóa, Thể thao và Du lịch ban hành.</w:t>
            </w:r>
          </w:p>
        </w:tc>
      </w:tr>
      <w:tr w:rsidR="00902038" w:rsidRPr="007278E2" w14:paraId="38638571" w14:textId="77777777" w:rsidTr="009A206A">
        <w:tc>
          <w:tcPr>
            <w:tcW w:w="5246" w:type="dxa"/>
            <w:tcBorders>
              <w:bottom w:val="dashSmallGap" w:sz="4" w:space="0" w:color="auto"/>
            </w:tcBorders>
          </w:tcPr>
          <w:p w14:paraId="0893E4BC" w14:textId="1255E7D7" w:rsidR="00902038" w:rsidRPr="00234382" w:rsidRDefault="00902038" w:rsidP="009A206A">
            <w:pPr>
              <w:spacing w:before="120"/>
              <w:jc w:val="both"/>
              <w:rPr>
                <w:rFonts w:ascii="Times New Roman" w:eastAsia="Times New Roman" w:hAnsi="Times New Roman" w:cs="Times New Roman"/>
                <w:bCs/>
                <w:iCs/>
                <w:color w:val="000000" w:themeColor="text1"/>
                <w:sz w:val="24"/>
                <w:szCs w:val="24"/>
              </w:rPr>
            </w:pPr>
          </w:p>
        </w:tc>
        <w:tc>
          <w:tcPr>
            <w:tcW w:w="4961" w:type="dxa"/>
            <w:tcBorders>
              <w:bottom w:val="dashSmallGap" w:sz="4" w:space="0" w:color="auto"/>
            </w:tcBorders>
          </w:tcPr>
          <w:p w14:paraId="2CBAAA1C" w14:textId="4409AA75" w:rsidR="00902038" w:rsidRPr="00234382" w:rsidRDefault="00AA161F" w:rsidP="009A206A">
            <w:pPr>
              <w:spacing w:before="120"/>
              <w:ind w:firstLine="28"/>
              <w:jc w:val="both"/>
              <w:rPr>
                <w:rFonts w:ascii="Times New Roman" w:hAnsi="Times New Roman" w:cs="Times New Roman"/>
                <w:bCs/>
                <w:color w:val="000000" w:themeColor="text1"/>
                <w:sz w:val="24"/>
                <w:szCs w:val="24"/>
              </w:rPr>
            </w:pPr>
            <w:r w:rsidRPr="00234382">
              <w:rPr>
                <w:rFonts w:ascii="Times New Roman" w:eastAsia="Times New Roman" w:hAnsi="Times New Roman" w:cs="Times New Roman"/>
                <w:b/>
                <w:iCs/>
                <w:sz w:val="24"/>
                <w:szCs w:val="24"/>
              </w:rPr>
              <w:t>Điều 2</w:t>
            </w:r>
            <w:r w:rsidRPr="00234382">
              <w:rPr>
                <w:rFonts w:ascii="Times New Roman" w:eastAsia="Times New Roman" w:hAnsi="Times New Roman" w:cs="Times New Roman"/>
                <w:bCs/>
                <w:iCs/>
                <w:sz w:val="24"/>
                <w:szCs w:val="24"/>
              </w:rPr>
              <w:t>. Quy định chung về định mức kinh tế – kỹ thuật</w:t>
            </w:r>
          </w:p>
        </w:tc>
        <w:tc>
          <w:tcPr>
            <w:tcW w:w="4317" w:type="dxa"/>
            <w:tcBorders>
              <w:bottom w:val="dashSmallGap" w:sz="4" w:space="0" w:color="auto"/>
            </w:tcBorders>
          </w:tcPr>
          <w:p w14:paraId="101CB54A" w14:textId="77777777" w:rsidR="00902038" w:rsidRPr="00234382" w:rsidRDefault="00902038" w:rsidP="009A206A">
            <w:pPr>
              <w:spacing w:before="120"/>
              <w:jc w:val="both"/>
              <w:rPr>
                <w:rFonts w:ascii="Times New Roman" w:hAnsi="Times New Roman" w:cs="Times New Roman"/>
                <w:bCs/>
                <w:color w:val="000000" w:themeColor="text1"/>
                <w:sz w:val="24"/>
                <w:szCs w:val="24"/>
              </w:rPr>
            </w:pPr>
          </w:p>
        </w:tc>
      </w:tr>
      <w:tr w:rsidR="00902038" w:rsidRPr="007278E2" w14:paraId="6488A2A8" w14:textId="77777777" w:rsidTr="009A206A">
        <w:tc>
          <w:tcPr>
            <w:tcW w:w="5246" w:type="dxa"/>
            <w:tcBorders>
              <w:top w:val="dashSmallGap" w:sz="4" w:space="0" w:color="auto"/>
            </w:tcBorders>
          </w:tcPr>
          <w:p w14:paraId="5D03044F" w14:textId="3E87A293" w:rsidR="00902038" w:rsidRPr="00234382" w:rsidRDefault="000C5B0B" w:rsidP="009A206A">
            <w:pPr>
              <w:spacing w:before="120"/>
              <w:jc w:val="both"/>
              <w:rPr>
                <w:rFonts w:ascii="Times New Roman" w:eastAsia="Times New Roman" w:hAnsi="Times New Roman" w:cs="Times New Roman"/>
                <w:bCs/>
                <w:color w:val="000000" w:themeColor="text1"/>
                <w:sz w:val="24"/>
                <w:szCs w:val="24"/>
              </w:rPr>
            </w:pPr>
            <w:r w:rsidRPr="000C5B0B">
              <w:rPr>
                <w:rFonts w:ascii="Times New Roman" w:eastAsia="Times New Roman" w:hAnsi="Times New Roman" w:cs="Times New Roman"/>
                <w:bCs/>
                <w:color w:val="000000" w:themeColor="text1"/>
                <w:sz w:val="24"/>
                <w:szCs w:val="24"/>
              </w:rPr>
              <w:lastRenderedPageBreak/>
              <w:t>Các quyết định hiện hành quy định nguyên tắc xác định hao phí theo phạm vi từng tỉnh, chưa có sự thống nhất về cấu trúc và phương pháp xây dựng định mức.</w:t>
            </w:r>
          </w:p>
        </w:tc>
        <w:tc>
          <w:tcPr>
            <w:tcW w:w="4961" w:type="dxa"/>
            <w:tcBorders>
              <w:top w:val="dashSmallGap" w:sz="4" w:space="0" w:color="auto"/>
            </w:tcBorders>
          </w:tcPr>
          <w:p w14:paraId="57C936BF" w14:textId="439B28AD" w:rsidR="00902038" w:rsidRPr="00234382" w:rsidRDefault="00AA161F" w:rsidP="009A206A">
            <w:pPr>
              <w:spacing w:before="120"/>
              <w:ind w:firstLine="36"/>
              <w:jc w:val="both"/>
              <w:rPr>
                <w:rFonts w:ascii="Times New Roman" w:hAnsi="Times New Roman" w:cs="Times New Roman"/>
                <w:bCs/>
                <w:color w:val="000000" w:themeColor="text1"/>
                <w:sz w:val="24"/>
                <w:szCs w:val="24"/>
                <w:lang w:val="vi-VN"/>
              </w:rPr>
            </w:pPr>
            <w:r w:rsidRPr="00234382">
              <w:rPr>
                <w:rFonts w:ascii="Times New Roman" w:hAnsi="Times New Roman" w:cs="Times New Roman"/>
                <w:bCs/>
                <w:color w:val="000000" w:themeColor="text1"/>
                <w:sz w:val="24"/>
                <w:szCs w:val="24"/>
              </w:rPr>
              <w:t xml:space="preserve">Quy định chung về định mức </w:t>
            </w:r>
            <w:r w:rsidR="00783831" w:rsidRPr="00234382">
              <w:rPr>
                <w:rFonts w:ascii="Times New Roman" w:eastAsia="Times New Roman" w:hAnsi="Times New Roman" w:cs="Times New Roman"/>
                <w:bCs/>
                <w:iCs/>
                <w:sz w:val="24"/>
                <w:szCs w:val="24"/>
              </w:rPr>
              <w:t xml:space="preserve">kinh tế – kỹ thuật </w:t>
            </w:r>
            <w:r w:rsidRPr="00234382">
              <w:rPr>
                <w:rFonts w:ascii="Times New Roman" w:hAnsi="Times New Roman" w:cs="Times New Roman"/>
                <w:bCs/>
                <w:color w:val="000000" w:themeColor="text1"/>
                <w:sz w:val="24"/>
                <w:szCs w:val="24"/>
              </w:rPr>
              <w:t>(mức tối đa; xác định chức danh lao động; hệ số tiếng dân tộc, tiếng nước ngoài; trường hợp đặc biệt; chi phí không bao gồm…).</w:t>
            </w:r>
          </w:p>
        </w:tc>
        <w:tc>
          <w:tcPr>
            <w:tcW w:w="4317" w:type="dxa"/>
            <w:tcBorders>
              <w:top w:val="dashSmallGap" w:sz="4" w:space="0" w:color="auto"/>
            </w:tcBorders>
          </w:tcPr>
          <w:p w14:paraId="384045C4" w14:textId="77777777" w:rsidR="008C13E7" w:rsidRDefault="00D8010C" w:rsidP="009A206A">
            <w:pPr>
              <w:spacing w:before="120"/>
              <w:jc w:val="both"/>
              <w:rPr>
                <w:rFonts w:ascii="Times New Roman" w:hAnsi="Times New Roman" w:cs="Times New Roman"/>
                <w:bCs/>
                <w:color w:val="000000" w:themeColor="text1"/>
                <w:sz w:val="24"/>
                <w:szCs w:val="24"/>
              </w:rPr>
            </w:pPr>
            <w:r w:rsidRPr="00D8010C">
              <w:rPr>
                <w:rFonts w:ascii="Times New Roman" w:hAnsi="Times New Roman" w:cs="Times New Roman"/>
                <w:bCs/>
                <w:color w:val="000000" w:themeColor="text1"/>
                <w:sz w:val="24"/>
                <w:szCs w:val="24"/>
              </w:rPr>
              <w:t xml:space="preserve">Dự thảo thiết lập các nguyên tắc chung về xác định và áp dụng định mức theo hướng chuẩn hóa phương pháp tính hao phí nhân công, máy móc thiết bị và vật liệu theo quy định của Bộ. </w:t>
            </w:r>
          </w:p>
          <w:p w14:paraId="5D461461" w14:textId="13E93FC3" w:rsidR="00EA00CE" w:rsidRPr="00234382" w:rsidRDefault="00D8010C" w:rsidP="009A206A">
            <w:pPr>
              <w:spacing w:before="120"/>
              <w:jc w:val="both"/>
              <w:rPr>
                <w:rFonts w:ascii="Times New Roman" w:hAnsi="Times New Roman" w:cs="Times New Roman"/>
                <w:bCs/>
                <w:color w:val="000000" w:themeColor="text1"/>
                <w:sz w:val="24"/>
                <w:szCs w:val="24"/>
              </w:rPr>
            </w:pPr>
            <w:r w:rsidRPr="00D8010C">
              <w:rPr>
                <w:rFonts w:ascii="Times New Roman" w:hAnsi="Times New Roman" w:cs="Times New Roman"/>
                <w:bCs/>
                <w:color w:val="000000" w:themeColor="text1"/>
                <w:sz w:val="24"/>
                <w:szCs w:val="24"/>
              </w:rPr>
              <w:t>Đồng thời làm rõ một số nội dung kỹ thuật trong quá trình áp dụng như nội suy theo thời lượng chương trình, sử dụng tư liệu, áp dụng đối với chương trình tiếng dân tộc, tiếng nước ngoài, góp phần bảo đảm tính thống nhất và thuận lợi trong tổ chức thực hiện.</w:t>
            </w:r>
          </w:p>
        </w:tc>
      </w:tr>
      <w:tr w:rsidR="00902038" w:rsidRPr="007278E2" w14:paraId="083F786D" w14:textId="77777777" w:rsidTr="009A206A">
        <w:tc>
          <w:tcPr>
            <w:tcW w:w="5246" w:type="dxa"/>
            <w:tcBorders>
              <w:bottom w:val="dashSmallGap" w:sz="4" w:space="0" w:color="auto"/>
            </w:tcBorders>
          </w:tcPr>
          <w:p w14:paraId="32378256" w14:textId="59A7DA34" w:rsidR="00902038" w:rsidRPr="00234382" w:rsidRDefault="00902038" w:rsidP="009A206A">
            <w:pPr>
              <w:spacing w:before="120"/>
              <w:jc w:val="both"/>
              <w:rPr>
                <w:rFonts w:ascii="Times New Roman" w:eastAsia="Times New Roman" w:hAnsi="Times New Roman" w:cs="Times New Roman"/>
                <w:bCs/>
                <w:iCs/>
                <w:color w:val="000000" w:themeColor="text1"/>
                <w:sz w:val="24"/>
                <w:szCs w:val="24"/>
              </w:rPr>
            </w:pPr>
          </w:p>
        </w:tc>
        <w:tc>
          <w:tcPr>
            <w:tcW w:w="4961" w:type="dxa"/>
            <w:tcBorders>
              <w:bottom w:val="dashSmallGap" w:sz="4" w:space="0" w:color="auto"/>
            </w:tcBorders>
          </w:tcPr>
          <w:p w14:paraId="168FF4FC" w14:textId="39363373" w:rsidR="00902038" w:rsidRPr="00234382" w:rsidRDefault="00AA161F" w:rsidP="009A206A">
            <w:pPr>
              <w:spacing w:before="120"/>
              <w:ind w:firstLine="28"/>
              <w:jc w:val="both"/>
              <w:rPr>
                <w:rFonts w:ascii="Times New Roman" w:hAnsi="Times New Roman" w:cs="Times New Roman"/>
                <w:bCs/>
                <w:color w:val="000000" w:themeColor="text1"/>
                <w:sz w:val="24"/>
                <w:szCs w:val="24"/>
              </w:rPr>
            </w:pPr>
            <w:r w:rsidRPr="00234382">
              <w:rPr>
                <w:rFonts w:ascii="Times New Roman" w:eastAsia="Times New Roman" w:hAnsi="Times New Roman" w:cs="Times New Roman"/>
                <w:b/>
                <w:iCs/>
                <w:sz w:val="24"/>
                <w:szCs w:val="24"/>
              </w:rPr>
              <w:t>Điều 3</w:t>
            </w:r>
            <w:r w:rsidRPr="00234382">
              <w:rPr>
                <w:rFonts w:ascii="Times New Roman" w:eastAsia="Times New Roman" w:hAnsi="Times New Roman" w:cs="Times New Roman"/>
                <w:bCs/>
                <w:iCs/>
                <w:sz w:val="24"/>
                <w:szCs w:val="24"/>
              </w:rPr>
              <w:t>. Nội dung và kết cấu định mức kinh tế – kỹ thuật</w:t>
            </w:r>
          </w:p>
        </w:tc>
        <w:tc>
          <w:tcPr>
            <w:tcW w:w="4317" w:type="dxa"/>
            <w:tcBorders>
              <w:bottom w:val="dashSmallGap" w:sz="4" w:space="0" w:color="auto"/>
            </w:tcBorders>
          </w:tcPr>
          <w:p w14:paraId="2BB635EC" w14:textId="77777777" w:rsidR="00902038" w:rsidRPr="00234382" w:rsidRDefault="00902038" w:rsidP="009A206A">
            <w:pPr>
              <w:spacing w:before="120"/>
              <w:jc w:val="both"/>
              <w:rPr>
                <w:rFonts w:ascii="Times New Roman" w:hAnsi="Times New Roman" w:cs="Times New Roman"/>
                <w:bCs/>
                <w:color w:val="000000" w:themeColor="text1"/>
                <w:sz w:val="24"/>
                <w:szCs w:val="24"/>
              </w:rPr>
            </w:pPr>
          </w:p>
        </w:tc>
      </w:tr>
      <w:tr w:rsidR="00902038" w:rsidRPr="007278E2" w14:paraId="7C4734F8" w14:textId="77777777" w:rsidTr="009A206A">
        <w:tc>
          <w:tcPr>
            <w:tcW w:w="5246" w:type="dxa"/>
            <w:tcBorders>
              <w:top w:val="dashSmallGap" w:sz="4" w:space="0" w:color="auto"/>
            </w:tcBorders>
          </w:tcPr>
          <w:p w14:paraId="05FBB156" w14:textId="7635EF05" w:rsidR="00902038" w:rsidRPr="00234382" w:rsidRDefault="00AA161F" w:rsidP="009A206A">
            <w:pPr>
              <w:spacing w:before="120"/>
              <w:jc w:val="both"/>
              <w:rPr>
                <w:rFonts w:ascii="Times New Roman" w:eastAsia="Times New Roman" w:hAnsi="Times New Roman" w:cs="Times New Roman"/>
                <w:bCs/>
                <w:color w:val="000000" w:themeColor="text1"/>
                <w:sz w:val="24"/>
                <w:szCs w:val="24"/>
              </w:rPr>
            </w:pPr>
            <w:r w:rsidRPr="00234382">
              <w:rPr>
                <w:rFonts w:ascii="Times New Roman" w:eastAsia="Times New Roman" w:hAnsi="Times New Roman" w:cs="Times New Roman"/>
                <w:bCs/>
                <w:color w:val="000000" w:themeColor="text1"/>
                <w:sz w:val="24"/>
                <w:szCs w:val="24"/>
              </w:rPr>
              <w:t>Các quyết định cũ không quy định thống nhất nội dung và kết cấu định mức, mỗi tỉnh xây dựng theo cấu trúc riêng.</w:t>
            </w:r>
          </w:p>
        </w:tc>
        <w:tc>
          <w:tcPr>
            <w:tcW w:w="4961" w:type="dxa"/>
            <w:tcBorders>
              <w:top w:val="dashSmallGap" w:sz="4" w:space="0" w:color="auto"/>
            </w:tcBorders>
          </w:tcPr>
          <w:p w14:paraId="23CEEB83" w14:textId="339100E3" w:rsidR="00902038" w:rsidRPr="00234382" w:rsidRDefault="00AA161F" w:rsidP="009A206A">
            <w:pPr>
              <w:spacing w:before="120"/>
              <w:ind w:firstLine="36"/>
              <w:jc w:val="both"/>
              <w:rPr>
                <w:rFonts w:ascii="Times New Roman" w:hAnsi="Times New Roman" w:cs="Times New Roman"/>
                <w:bCs/>
                <w:color w:val="000000" w:themeColor="text1"/>
                <w:sz w:val="24"/>
                <w:szCs w:val="24"/>
                <w:lang w:val="vi-VN"/>
              </w:rPr>
            </w:pPr>
            <w:r w:rsidRPr="00234382">
              <w:rPr>
                <w:rFonts w:ascii="Times New Roman" w:hAnsi="Times New Roman" w:cs="Times New Roman"/>
                <w:bCs/>
                <w:color w:val="000000" w:themeColor="text1"/>
                <w:sz w:val="24"/>
                <w:szCs w:val="24"/>
              </w:rPr>
              <w:t xml:space="preserve">Quy định nội dung và kết cấu định mức </w:t>
            </w:r>
            <w:r w:rsidR="00783831" w:rsidRPr="00234382">
              <w:rPr>
                <w:rFonts w:ascii="Times New Roman" w:eastAsia="Times New Roman" w:hAnsi="Times New Roman" w:cs="Times New Roman"/>
                <w:bCs/>
                <w:iCs/>
                <w:sz w:val="24"/>
                <w:szCs w:val="24"/>
              </w:rPr>
              <w:t>kinh tế – kỹ thuật</w:t>
            </w:r>
            <w:r w:rsidRPr="00234382">
              <w:rPr>
                <w:rFonts w:ascii="Times New Roman" w:hAnsi="Times New Roman" w:cs="Times New Roman"/>
                <w:bCs/>
                <w:color w:val="000000" w:themeColor="text1"/>
                <w:sz w:val="24"/>
                <w:szCs w:val="24"/>
              </w:rPr>
              <w:t xml:space="preserve"> (hao phí nhân công, máy móc, vật liệu; cấu trúc bảng định mức…).</w:t>
            </w:r>
          </w:p>
        </w:tc>
        <w:tc>
          <w:tcPr>
            <w:tcW w:w="4317" w:type="dxa"/>
            <w:tcBorders>
              <w:top w:val="dashSmallGap" w:sz="4" w:space="0" w:color="auto"/>
            </w:tcBorders>
          </w:tcPr>
          <w:p w14:paraId="15F4494B" w14:textId="77777777" w:rsidR="00D8010C" w:rsidRDefault="00D8010C" w:rsidP="009A206A">
            <w:pPr>
              <w:spacing w:before="120"/>
              <w:jc w:val="both"/>
              <w:rPr>
                <w:rFonts w:ascii="Times New Roman" w:hAnsi="Times New Roman" w:cs="Times New Roman"/>
                <w:bCs/>
                <w:color w:val="000000" w:themeColor="text1"/>
                <w:sz w:val="24"/>
                <w:szCs w:val="24"/>
              </w:rPr>
            </w:pPr>
            <w:r w:rsidRPr="00D8010C">
              <w:rPr>
                <w:rFonts w:ascii="Times New Roman" w:hAnsi="Times New Roman" w:cs="Times New Roman"/>
                <w:bCs/>
                <w:color w:val="000000" w:themeColor="text1"/>
                <w:sz w:val="24"/>
                <w:szCs w:val="24"/>
              </w:rPr>
              <w:t xml:space="preserve">Dự thảo quy định thống nhất nội dung và kết cấu bảng định mức kinh tế – kỹ thuật, bao gồm thành phần hao phí nhân công, hao phí máy móc thiết bị và hao phí vật liệu, trên cơ sở cụ thể hóa cấu trúc định mức theo hướng dẫn của cơ quan Trung ương. </w:t>
            </w:r>
          </w:p>
          <w:p w14:paraId="542DCE11" w14:textId="0E48B27E" w:rsidR="000C5B0B" w:rsidRPr="00234382" w:rsidRDefault="00D8010C" w:rsidP="009A206A">
            <w:pPr>
              <w:spacing w:before="120"/>
              <w:jc w:val="both"/>
              <w:rPr>
                <w:rFonts w:ascii="Times New Roman" w:hAnsi="Times New Roman" w:cs="Times New Roman"/>
                <w:bCs/>
                <w:color w:val="000000" w:themeColor="text1"/>
                <w:sz w:val="24"/>
                <w:szCs w:val="24"/>
              </w:rPr>
            </w:pPr>
            <w:r w:rsidRPr="00D8010C">
              <w:rPr>
                <w:rFonts w:ascii="Times New Roman" w:hAnsi="Times New Roman" w:cs="Times New Roman"/>
                <w:bCs/>
                <w:color w:val="000000" w:themeColor="text1"/>
                <w:sz w:val="24"/>
                <w:szCs w:val="24"/>
              </w:rPr>
              <w:t>Việc chuẩn hóa cấu trúc định mức tạo điều kiện thuận lợi trong việc xây dựng giá, đơn giá và quản lý chi phí cung cấp dịch vụ sự nghiệp công trong lĩnh vực phát thanh, truyền hình.</w:t>
            </w:r>
          </w:p>
        </w:tc>
      </w:tr>
      <w:tr w:rsidR="00902038" w:rsidRPr="007278E2" w14:paraId="3312D547" w14:textId="77777777" w:rsidTr="009A206A">
        <w:tc>
          <w:tcPr>
            <w:tcW w:w="5246" w:type="dxa"/>
            <w:tcBorders>
              <w:bottom w:val="dashSmallGap" w:sz="4" w:space="0" w:color="auto"/>
            </w:tcBorders>
          </w:tcPr>
          <w:p w14:paraId="52C80348" w14:textId="312ED411" w:rsidR="00902038" w:rsidRPr="00234382" w:rsidRDefault="00902038" w:rsidP="009A206A">
            <w:pPr>
              <w:spacing w:before="120"/>
              <w:jc w:val="both"/>
              <w:rPr>
                <w:rFonts w:ascii="Times New Roman" w:eastAsia="Times New Roman" w:hAnsi="Times New Roman" w:cs="Times New Roman"/>
                <w:bCs/>
                <w:iCs/>
                <w:color w:val="000000" w:themeColor="text1"/>
                <w:sz w:val="24"/>
                <w:szCs w:val="24"/>
              </w:rPr>
            </w:pPr>
          </w:p>
        </w:tc>
        <w:tc>
          <w:tcPr>
            <w:tcW w:w="4961" w:type="dxa"/>
            <w:tcBorders>
              <w:bottom w:val="dashSmallGap" w:sz="4" w:space="0" w:color="auto"/>
            </w:tcBorders>
          </w:tcPr>
          <w:p w14:paraId="5E32BE4A" w14:textId="5B8FED80" w:rsidR="00902038" w:rsidRPr="00234382" w:rsidRDefault="00AA161F" w:rsidP="009A206A">
            <w:pPr>
              <w:spacing w:before="120"/>
              <w:ind w:firstLine="28"/>
              <w:jc w:val="both"/>
              <w:rPr>
                <w:rFonts w:ascii="Times New Roman" w:hAnsi="Times New Roman" w:cs="Times New Roman"/>
                <w:bCs/>
                <w:color w:val="000000" w:themeColor="text1"/>
                <w:sz w:val="24"/>
                <w:szCs w:val="24"/>
              </w:rPr>
            </w:pPr>
            <w:r w:rsidRPr="00234382">
              <w:rPr>
                <w:rFonts w:ascii="Times New Roman" w:eastAsia="Times New Roman" w:hAnsi="Times New Roman" w:cs="Times New Roman"/>
                <w:b/>
                <w:iCs/>
                <w:sz w:val="24"/>
                <w:szCs w:val="24"/>
              </w:rPr>
              <w:t>Điều 4</w:t>
            </w:r>
            <w:r w:rsidRPr="00234382">
              <w:rPr>
                <w:rFonts w:ascii="Times New Roman" w:eastAsia="Times New Roman" w:hAnsi="Times New Roman" w:cs="Times New Roman"/>
                <w:bCs/>
                <w:iCs/>
                <w:sz w:val="24"/>
                <w:szCs w:val="24"/>
              </w:rPr>
              <w:t>. Các định mức kinh tế – kỹ thuật thuộc phạm vi điều chỉnh</w:t>
            </w:r>
          </w:p>
        </w:tc>
        <w:tc>
          <w:tcPr>
            <w:tcW w:w="4317" w:type="dxa"/>
            <w:tcBorders>
              <w:bottom w:val="dashSmallGap" w:sz="4" w:space="0" w:color="auto"/>
            </w:tcBorders>
          </w:tcPr>
          <w:p w14:paraId="5BBB149E" w14:textId="77777777" w:rsidR="00902038" w:rsidRPr="00234382" w:rsidRDefault="00902038" w:rsidP="009A206A">
            <w:pPr>
              <w:spacing w:before="120"/>
              <w:jc w:val="both"/>
              <w:rPr>
                <w:rFonts w:ascii="Times New Roman" w:hAnsi="Times New Roman" w:cs="Times New Roman"/>
                <w:bCs/>
                <w:color w:val="000000" w:themeColor="text1"/>
                <w:sz w:val="24"/>
                <w:szCs w:val="24"/>
              </w:rPr>
            </w:pPr>
          </w:p>
        </w:tc>
      </w:tr>
      <w:tr w:rsidR="00902038" w:rsidRPr="007278E2" w14:paraId="18C561D1" w14:textId="77777777" w:rsidTr="009A206A">
        <w:tc>
          <w:tcPr>
            <w:tcW w:w="5246" w:type="dxa"/>
            <w:tcBorders>
              <w:top w:val="dashSmallGap" w:sz="4" w:space="0" w:color="auto"/>
            </w:tcBorders>
          </w:tcPr>
          <w:p w14:paraId="748CE380" w14:textId="1CFE95EB" w:rsidR="00902038" w:rsidRPr="00234382" w:rsidRDefault="00AA161F" w:rsidP="009A206A">
            <w:pPr>
              <w:spacing w:before="120"/>
              <w:jc w:val="both"/>
              <w:rPr>
                <w:rFonts w:ascii="Times New Roman" w:eastAsia="Times New Roman" w:hAnsi="Times New Roman" w:cs="Times New Roman"/>
                <w:bCs/>
                <w:color w:val="000000" w:themeColor="text1"/>
                <w:sz w:val="24"/>
                <w:szCs w:val="24"/>
              </w:rPr>
            </w:pPr>
            <w:r w:rsidRPr="00234382">
              <w:rPr>
                <w:rFonts w:ascii="Times New Roman" w:eastAsia="Times New Roman" w:hAnsi="Times New Roman" w:cs="Times New Roman"/>
                <w:bCs/>
                <w:color w:val="000000" w:themeColor="text1"/>
                <w:sz w:val="24"/>
                <w:szCs w:val="24"/>
              </w:rPr>
              <w:t>Hệ thống định mức được ban hành tại phụ lục riêng của từng quyết định (phát thanh – truyền hình tách biệt theo địa giới hành chính cũ).</w:t>
            </w:r>
          </w:p>
        </w:tc>
        <w:tc>
          <w:tcPr>
            <w:tcW w:w="4961" w:type="dxa"/>
            <w:tcBorders>
              <w:top w:val="dashSmallGap" w:sz="4" w:space="0" w:color="auto"/>
            </w:tcBorders>
          </w:tcPr>
          <w:p w14:paraId="5C00961E" w14:textId="3799717D" w:rsidR="00902038" w:rsidRPr="00234382" w:rsidRDefault="00AA161F" w:rsidP="009A206A">
            <w:pPr>
              <w:spacing w:before="120"/>
              <w:ind w:firstLine="36"/>
              <w:jc w:val="both"/>
              <w:rPr>
                <w:rFonts w:ascii="Times New Roman" w:hAnsi="Times New Roman" w:cs="Times New Roman"/>
                <w:bCs/>
                <w:color w:val="000000" w:themeColor="text1"/>
                <w:sz w:val="24"/>
                <w:szCs w:val="24"/>
                <w:lang w:val="vi-VN"/>
              </w:rPr>
            </w:pPr>
            <w:r w:rsidRPr="00234382">
              <w:rPr>
                <w:rFonts w:ascii="Times New Roman" w:hAnsi="Times New Roman" w:cs="Times New Roman"/>
                <w:bCs/>
                <w:color w:val="000000" w:themeColor="text1"/>
                <w:sz w:val="24"/>
                <w:szCs w:val="24"/>
              </w:rPr>
              <w:t>Quy định hệ thống định mức tại Phụ lục I (phát thanh) và Phụ lục II (truyền hình) áp dụng toàn tỉnh.</w:t>
            </w:r>
          </w:p>
        </w:tc>
        <w:tc>
          <w:tcPr>
            <w:tcW w:w="4317" w:type="dxa"/>
            <w:tcBorders>
              <w:top w:val="dashSmallGap" w:sz="4" w:space="0" w:color="auto"/>
            </w:tcBorders>
          </w:tcPr>
          <w:p w14:paraId="37F7B619" w14:textId="4C05E6A3" w:rsidR="00942892" w:rsidRDefault="001C4A92" w:rsidP="009A206A">
            <w:pPr>
              <w:spacing w:before="120"/>
              <w:jc w:val="both"/>
              <w:rPr>
                <w:rFonts w:ascii="Times New Roman" w:hAnsi="Times New Roman" w:cs="Times New Roman"/>
                <w:bCs/>
                <w:color w:val="000000" w:themeColor="text1"/>
                <w:sz w:val="24"/>
                <w:szCs w:val="24"/>
              </w:rPr>
            </w:pPr>
            <w:r w:rsidRPr="001C4A92">
              <w:rPr>
                <w:rFonts w:ascii="Times New Roman" w:hAnsi="Times New Roman" w:cs="Times New Roman"/>
                <w:bCs/>
                <w:color w:val="000000" w:themeColor="text1"/>
                <w:sz w:val="24"/>
                <w:szCs w:val="24"/>
              </w:rPr>
              <w:t xml:space="preserve">Dự thảo ban hành hệ thống định mức kinh tế – kỹ thuật áp dụng chung trên địa bàn tỉnh, gồm Phụ lục I về định mức phát thanh với 27 nhóm định mức </w:t>
            </w:r>
            <w:r w:rsidR="00805923">
              <w:rPr>
                <w:rFonts w:ascii="Times New Roman" w:hAnsi="Times New Roman" w:cs="Times New Roman"/>
                <w:bCs/>
                <w:color w:val="000000" w:themeColor="text1"/>
                <w:sz w:val="24"/>
                <w:szCs w:val="24"/>
              </w:rPr>
              <w:t>và</w:t>
            </w:r>
            <w:r>
              <w:rPr>
                <w:rFonts w:ascii="Times New Roman" w:hAnsi="Times New Roman" w:cs="Times New Roman"/>
                <w:bCs/>
                <w:color w:val="000000" w:themeColor="text1"/>
                <w:sz w:val="24"/>
                <w:szCs w:val="24"/>
              </w:rPr>
              <w:t xml:space="preserve"> </w:t>
            </w:r>
            <w:r w:rsidRPr="001C4A92">
              <w:rPr>
                <w:rFonts w:ascii="Times New Roman" w:hAnsi="Times New Roman" w:cs="Times New Roman"/>
                <w:bCs/>
                <w:color w:val="000000" w:themeColor="text1"/>
                <w:sz w:val="24"/>
                <w:szCs w:val="24"/>
              </w:rPr>
              <w:t xml:space="preserve">90 bộ định mức chi tiết, và Phụ lục II về định mức truyền </w:t>
            </w:r>
            <w:r w:rsidRPr="001C4A92">
              <w:rPr>
                <w:rFonts w:ascii="Times New Roman" w:hAnsi="Times New Roman" w:cs="Times New Roman"/>
                <w:bCs/>
                <w:color w:val="000000" w:themeColor="text1"/>
                <w:sz w:val="24"/>
                <w:szCs w:val="24"/>
              </w:rPr>
              <w:lastRenderedPageBreak/>
              <w:t xml:space="preserve">hình với 14 nhóm định mức và 111 bộ định mức chi tiết. </w:t>
            </w:r>
          </w:p>
          <w:p w14:paraId="1D8BD70A" w14:textId="2C4396AA" w:rsidR="000C5B0B" w:rsidRPr="001C4A92" w:rsidRDefault="001C4A92" w:rsidP="009A206A">
            <w:pPr>
              <w:spacing w:before="120"/>
              <w:jc w:val="both"/>
              <w:rPr>
                <w:rFonts w:ascii="Times New Roman" w:hAnsi="Times New Roman" w:cs="Times New Roman"/>
                <w:bCs/>
                <w:color w:val="000000" w:themeColor="text1"/>
                <w:sz w:val="24"/>
                <w:szCs w:val="24"/>
              </w:rPr>
            </w:pPr>
            <w:r w:rsidRPr="001C4A92">
              <w:rPr>
                <w:rFonts w:ascii="Times New Roman" w:hAnsi="Times New Roman" w:cs="Times New Roman"/>
                <w:bCs/>
                <w:color w:val="000000" w:themeColor="text1"/>
                <w:sz w:val="24"/>
                <w:szCs w:val="24"/>
              </w:rPr>
              <w:t>Hệ thống định mức được xây dựng đồng bộ với định mức cấp Bộ, bao quát đầy đủ các loại hình chương trình phát thanh, truyền hình hiện đang được tổ chức sản xuất trong điều kiện ứng dụng công nghệ số và sản xuất nội dung đa nền tảng.</w:t>
            </w:r>
          </w:p>
        </w:tc>
      </w:tr>
      <w:tr w:rsidR="00902038" w:rsidRPr="007278E2" w14:paraId="7C93999A" w14:textId="77777777" w:rsidTr="009A206A">
        <w:tc>
          <w:tcPr>
            <w:tcW w:w="5246" w:type="dxa"/>
            <w:tcBorders>
              <w:bottom w:val="dashSmallGap" w:sz="4" w:space="0" w:color="auto"/>
            </w:tcBorders>
          </w:tcPr>
          <w:p w14:paraId="674657D4" w14:textId="0495DBF6" w:rsidR="00902038" w:rsidRPr="00234382" w:rsidRDefault="00902038" w:rsidP="009A206A">
            <w:pPr>
              <w:spacing w:before="120"/>
              <w:jc w:val="both"/>
              <w:rPr>
                <w:rFonts w:ascii="Times New Roman" w:eastAsia="Times New Roman" w:hAnsi="Times New Roman" w:cs="Times New Roman"/>
                <w:bCs/>
                <w:iCs/>
                <w:color w:val="000000" w:themeColor="text1"/>
                <w:sz w:val="24"/>
                <w:szCs w:val="24"/>
              </w:rPr>
            </w:pPr>
          </w:p>
        </w:tc>
        <w:tc>
          <w:tcPr>
            <w:tcW w:w="4961" w:type="dxa"/>
            <w:tcBorders>
              <w:bottom w:val="dashSmallGap" w:sz="4" w:space="0" w:color="auto"/>
            </w:tcBorders>
          </w:tcPr>
          <w:p w14:paraId="10A4561B" w14:textId="67C8663C" w:rsidR="00902038" w:rsidRPr="00234382" w:rsidRDefault="00AA161F" w:rsidP="009A206A">
            <w:pPr>
              <w:spacing w:before="120"/>
              <w:ind w:firstLine="28"/>
              <w:jc w:val="both"/>
              <w:rPr>
                <w:rFonts w:ascii="Times New Roman" w:hAnsi="Times New Roman" w:cs="Times New Roman"/>
                <w:bCs/>
                <w:color w:val="000000" w:themeColor="text1"/>
                <w:sz w:val="24"/>
                <w:szCs w:val="24"/>
              </w:rPr>
            </w:pPr>
            <w:r w:rsidRPr="00234382">
              <w:rPr>
                <w:rStyle w:val="Bodytext"/>
                <w:rFonts w:ascii="Times New Roman" w:hAnsi="Times New Roman" w:cs="Times New Roman"/>
                <w:b/>
                <w:sz w:val="24"/>
                <w:szCs w:val="24"/>
                <w:lang w:eastAsia="vi-VN"/>
              </w:rPr>
              <w:t>Điều 5</w:t>
            </w:r>
            <w:r w:rsidRPr="00234382">
              <w:rPr>
                <w:rStyle w:val="Bodytext"/>
                <w:rFonts w:ascii="Times New Roman" w:hAnsi="Times New Roman" w:cs="Times New Roman"/>
                <w:bCs/>
                <w:sz w:val="24"/>
                <w:szCs w:val="24"/>
                <w:lang w:eastAsia="vi-VN"/>
              </w:rPr>
              <w:t xml:space="preserve">. </w:t>
            </w:r>
            <w:r w:rsidRPr="00234382">
              <w:rPr>
                <w:rFonts w:ascii="Times New Roman" w:hAnsi="Times New Roman" w:cs="Times New Roman"/>
                <w:bCs/>
                <w:sz w:val="24"/>
                <w:szCs w:val="24"/>
                <w:lang w:eastAsia="vi-VN"/>
              </w:rPr>
              <w:t>Tổ chức thực hiện</w:t>
            </w:r>
          </w:p>
        </w:tc>
        <w:tc>
          <w:tcPr>
            <w:tcW w:w="4317" w:type="dxa"/>
            <w:tcBorders>
              <w:bottom w:val="dashSmallGap" w:sz="4" w:space="0" w:color="auto"/>
            </w:tcBorders>
          </w:tcPr>
          <w:p w14:paraId="0B88077A" w14:textId="77777777" w:rsidR="00902038" w:rsidRPr="00234382" w:rsidRDefault="00902038" w:rsidP="009A206A">
            <w:pPr>
              <w:spacing w:before="120"/>
              <w:jc w:val="both"/>
              <w:rPr>
                <w:rFonts w:ascii="Times New Roman" w:hAnsi="Times New Roman" w:cs="Times New Roman"/>
                <w:bCs/>
                <w:color w:val="000000" w:themeColor="text1"/>
                <w:sz w:val="24"/>
                <w:szCs w:val="24"/>
              </w:rPr>
            </w:pPr>
          </w:p>
        </w:tc>
      </w:tr>
      <w:tr w:rsidR="00902038" w:rsidRPr="007278E2" w14:paraId="7D7B02C0" w14:textId="77777777" w:rsidTr="009A206A">
        <w:tc>
          <w:tcPr>
            <w:tcW w:w="5246" w:type="dxa"/>
            <w:tcBorders>
              <w:top w:val="dashSmallGap" w:sz="4" w:space="0" w:color="auto"/>
            </w:tcBorders>
          </w:tcPr>
          <w:p w14:paraId="45789152" w14:textId="4196BBBC" w:rsidR="00902038" w:rsidRPr="00234382" w:rsidRDefault="00AA161F" w:rsidP="009A206A">
            <w:pPr>
              <w:spacing w:before="120"/>
              <w:jc w:val="both"/>
              <w:rPr>
                <w:rFonts w:ascii="Times New Roman" w:eastAsia="Times New Roman" w:hAnsi="Times New Roman" w:cs="Times New Roman"/>
                <w:bCs/>
                <w:color w:val="000000" w:themeColor="text1"/>
                <w:sz w:val="24"/>
                <w:szCs w:val="24"/>
              </w:rPr>
            </w:pPr>
            <w:r w:rsidRPr="00234382">
              <w:rPr>
                <w:rFonts w:ascii="Times New Roman" w:eastAsia="Times New Roman" w:hAnsi="Times New Roman" w:cs="Times New Roman"/>
                <w:bCs/>
                <w:color w:val="000000" w:themeColor="text1"/>
                <w:sz w:val="24"/>
                <w:szCs w:val="24"/>
              </w:rPr>
              <w:t>Các quyết định cũ giao cơ quan chuyên môn của từng tỉnh triển khai thực hiện.</w:t>
            </w:r>
          </w:p>
        </w:tc>
        <w:tc>
          <w:tcPr>
            <w:tcW w:w="4961" w:type="dxa"/>
            <w:tcBorders>
              <w:top w:val="dashSmallGap" w:sz="4" w:space="0" w:color="auto"/>
            </w:tcBorders>
          </w:tcPr>
          <w:p w14:paraId="3D6BD1AD" w14:textId="5B4A8F39" w:rsidR="00902038" w:rsidRPr="00234382" w:rsidRDefault="00AA161F" w:rsidP="009A206A">
            <w:pPr>
              <w:spacing w:before="120"/>
              <w:ind w:firstLine="36"/>
              <w:jc w:val="both"/>
              <w:rPr>
                <w:rFonts w:ascii="Times New Roman" w:hAnsi="Times New Roman" w:cs="Times New Roman"/>
                <w:bCs/>
                <w:color w:val="000000" w:themeColor="text1"/>
                <w:sz w:val="24"/>
                <w:szCs w:val="24"/>
                <w:lang w:val="vi-VN"/>
              </w:rPr>
            </w:pPr>
            <w:r w:rsidRPr="00234382">
              <w:rPr>
                <w:rFonts w:ascii="Times New Roman" w:hAnsi="Times New Roman" w:cs="Times New Roman"/>
                <w:bCs/>
                <w:color w:val="000000" w:themeColor="text1"/>
                <w:sz w:val="24"/>
                <w:szCs w:val="24"/>
              </w:rPr>
              <w:t>Giao Sở Văn hóa và Thể thao chủ trì triển khai; phối hợp các sở, ngành, cơ quan báo chí và UBND cấp xã.</w:t>
            </w:r>
          </w:p>
        </w:tc>
        <w:tc>
          <w:tcPr>
            <w:tcW w:w="4317" w:type="dxa"/>
            <w:tcBorders>
              <w:top w:val="dashSmallGap" w:sz="4" w:space="0" w:color="auto"/>
            </w:tcBorders>
          </w:tcPr>
          <w:p w14:paraId="6C57C059" w14:textId="7AF73817" w:rsidR="00902038" w:rsidRPr="00234382" w:rsidRDefault="00942892" w:rsidP="009A206A">
            <w:pPr>
              <w:spacing w:before="120"/>
              <w:jc w:val="both"/>
              <w:rPr>
                <w:rFonts w:ascii="Times New Roman" w:hAnsi="Times New Roman" w:cs="Times New Roman"/>
                <w:bCs/>
                <w:color w:val="000000" w:themeColor="text1"/>
                <w:sz w:val="24"/>
                <w:szCs w:val="24"/>
              </w:rPr>
            </w:pPr>
            <w:r w:rsidRPr="00942892">
              <w:rPr>
                <w:rFonts w:ascii="Times New Roman" w:hAnsi="Times New Roman" w:cs="Times New Roman"/>
                <w:bCs/>
                <w:color w:val="000000" w:themeColor="text1"/>
                <w:sz w:val="24"/>
                <w:szCs w:val="24"/>
              </w:rPr>
              <w:t>Dự thảo quy định trách nhiệm của Sở Văn hóa và Thể thao trong việc chủ trì hướng dẫn và tổ chức triển khai thực hiện định mức; đồng thời xác định trách nhiệm phối hợp của các sở, ngành, cơ quan báo chí và chính quyền địa phương trong quá trình áp dụng định mức để thực hiện cơ chế giao nhiệm vụ, đặt hàng hoặc đấu thầu cung cấp dịch vụ sự nghiệp công.</w:t>
            </w:r>
          </w:p>
        </w:tc>
      </w:tr>
      <w:tr w:rsidR="00902038" w:rsidRPr="007278E2" w14:paraId="213A542C" w14:textId="77777777" w:rsidTr="009A206A">
        <w:tc>
          <w:tcPr>
            <w:tcW w:w="5246" w:type="dxa"/>
            <w:tcBorders>
              <w:bottom w:val="dashSmallGap" w:sz="4" w:space="0" w:color="auto"/>
            </w:tcBorders>
          </w:tcPr>
          <w:p w14:paraId="732579A8" w14:textId="20E04FE3" w:rsidR="00902038" w:rsidRPr="00234382" w:rsidRDefault="00902038" w:rsidP="009A206A">
            <w:pPr>
              <w:spacing w:before="120"/>
              <w:jc w:val="both"/>
              <w:rPr>
                <w:rFonts w:ascii="Times New Roman" w:eastAsia="Times New Roman" w:hAnsi="Times New Roman" w:cs="Times New Roman"/>
                <w:bCs/>
                <w:iCs/>
                <w:color w:val="000000" w:themeColor="text1"/>
                <w:sz w:val="24"/>
                <w:szCs w:val="24"/>
              </w:rPr>
            </w:pPr>
          </w:p>
        </w:tc>
        <w:tc>
          <w:tcPr>
            <w:tcW w:w="4961" w:type="dxa"/>
            <w:tcBorders>
              <w:bottom w:val="dashSmallGap" w:sz="4" w:space="0" w:color="auto"/>
            </w:tcBorders>
          </w:tcPr>
          <w:p w14:paraId="7FB9103F" w14:textId="084CAB94" w:rsidR="00902038" w:rsidRPr="00234382" w:rsidRDefault="00AA161F" w:rsidP="009A206A">
            <w:pPr>
              <w:spacing w:before="120"/>
              <w:ind w:firstLine="28"/>
              <w:jc w:val="both"/>
              <w:rPr>
                <w:rFonts w:ascii="Times New Roman" w:hAnsi="Times New Roman" w:cs="Times New Roman"/>
                <w:bCs/>
                <w:color w:val="000000" w:themeColor="text1"/>
                <w:sz w:val="24"/>
                <w:szCs w:val="24"/>
              </w:rPr>
            </w:pPr>
            <w:r w:rsidRPr="00234382">
              <w:rPr>
                <w:rFonts w:ascii="Times New Roman" w:hAnsi="Times New Roman" w:cs="Times New Roman"/>
                <w:b/>
                <w:sz w:val="24"/>
                <w:szCs w:val="24"/>
                <w:lang w:eastAsia="vi-VN"/>
              </w:rPr>
              <w:t>Điều 6</w:t>
            </w:r>
            <w:r w:rsidRPr="00234382">
              <w:rPr>
                <w:rFonts w:ascii="Times New Roman" w:hAnsi="Times New Roman" w:cs="Times New Roman"/>
                <w:bCs/>
                <w:sz w:val="24"/>
                <w:szCs w:val="24"/>
                <w:lang w:eastAsia="vi-VN"/>
              </w:rPr>
              <w:t>. Điều khoản thi hành</w:t>
            </w:r>
          </w:p>
        </w:tc>
        <w:tc>
          <w:tcPr>
            <w:tcW w:w="4317" w:type="dxa"/>
            <w:tcBorders>
              <w:bottom w:val="dashSmallGap" w:sz="4" w:space="0" w:color="auto"/>
            </w:tcBorders>
          </w:tcPr>
          <w:p w14:paraId="79B14894" w14:textId="77777777" w:rsidR="00902038" w:rsidRPr="00234382" w:rsidRDefault="00902038" w:rsidP="009A206A">
            <w:pPr>
              <w:spacing w:before="120"/>
              <w:jc w:val="both"/>
              <w:rPr>
                <w:rFonts w:ascii="Times New Roman" w:hAnsi="Times New Roman" w:cs="Times New Roman"/>
                <w:bCs/>
                <w:color w:val="000000" w:themeColor="text1"/>
                <w:sz w:val="24"/>
                <w:szCs w:val="24"/>
              </w:rPr>
            </w:pPr>
          </w:p>
        </w:tc>
      </w:tr>
      <w:tr w:rsidR="00902038" w:rsidRPr="007278E2" w14:paraId="18C36584" w14:textId="77777777" w:rsidTr="009A206A">
        <w:tc>
          <w:tcPr>
            <w:tcW w:w="5246" w:type="dxa"/>
            <w:tcBorders>
              <w:top w:val="dashSmallGap" w:sz="4" w:space="0" w:color="auto"/>
            </w:tcBorders>
          </w:tcPr>
          <w:p w14:paraId="55BBDFF1" w14:textId="4ED6828B" w:rsidR="00902038" w:rsidRPr="00234382" w:rsidRDefault="00AA161F" w:rsidP="009A206A">
            <w:pPr>
              <w:spacing w:before="120"/>
              <w:jc w:val="both"/>
              <w:rPr>
                <w:rFonts w:ascii="Times New Roman" w:eastAsia="Times New Roman" w:hAnsi="Times New Roman" w:cs="Times New Roman"/>
                <w:bCs/>
                <w:color w:val="000000" w:themeColor="text1"/>
                <w:sz w:val="24"/>
                <w:szCs w:val="24"/>
              </w:rPr>
            </w:pPr>
            <w:r w:rsidRPr="00234382">
              <w:rPr>
                <w:rFonts w:ascii="Times New Roman" w:eastAsia="Times New Roman" w:hAnsi="Times New Roman" w:cs="Times New Roman"/>
                <w:bCs/>
                <w:color w:val="000000" w:themeColor="text1"/>
                <w:sz w:val="24"/>
                <w:szCs w:val="24"/>
              </w:rPr>
              <w:t>Các quyết định hiện hành đang có hiệu lực trong phạm vi địa giới hành chính của từng tỉnh trước sáp nhập.</w:t>
            </w:r>
          </w:p>
        </w:tc>
        <w:tc>
          <w:tcPr>
            <w:tcW w:w="4961" w:type="dxa"/>
            <w:tcBorders>
              <w:top w:val="dashSmallGap" w:sz="4" w:space="0" w:color="auto"/>
            </w:tcBorders>
          </w:tcPr>
          <w:p w14:paraId="238B1717" w14:textId="1302EF67" w:rsidR="00902038" w:rsidRPr="00234382" w:rsidRDefault="00AA161F" w:rsidP="009A206A">
            <w:pPr>
              <w:spacing w:before="120"/>
              <w:ind w:firstLine="36"/>
              <w:jc w:val="both"/>
              <w:rPr>
                <w:rFonts w:ascii="Times New Roman" w:hAnsi="Times New Roman" w:cs="Times New Roman"/>
                <w:bCs/>
                <w:color w:val="000000" w:themeColor="text1"/>
                <w:sz w:val="24"/>
                <w:szCs w:val="24"/>
                <w:lang w:val="vi-VN"/>
              </w:rPr>
            </w:pPr>
            <w:r w:rsidRPr="00234382">
              <w:rPr>
                <w:rFonts w:ascii="Times New Roman" w:hAnsi="Times New Roman" w:cs="Times New Roman"/>
                <w:bCs/>
                <w:color w:val="000000" w:themeColor="text1"/>
                <w:sz w:val="24"/>
                <w:szCs w:val="24"/>
              </w:rPr>
              <w:t xml:space="preserve">Quy định hiệu lực và bãi bỏ đồng thời </w:t>
            </w:r>
            <w:r w:rsidR="00234382" w:rsidRPr="00234382">
              <w:rPr>
                <w:rFonts w:ascii="Times New Roman" w:hAnsi="Times New Roman" w:cs="Times New Roman"/>
                <w:bCs/>
                <w:sz w:val="24"/>
                <w:szCs w:val="24"/>
                <w:lang w:eastAsia="vi-VN"/>
              </w:rPr>
              <w:t>Quyết định số 11/2021/QĐ-UBND ngày 16/3/2021 của UBND tỉnh An Giang (trước sáp nhập)</w:t>
            </w:r>
            <w:r w:rsidRPr="00234382">
              <w:rPr>
                <w:rFonts w:ascii="Times New Roman" w:hAnsi="Times New Roman" w:cs="Times New Roman"/>
                <w:bCs/>
                <w:color w:val="000000" w:themeColor="text1"/>
                <w:sz w:val="24"/>
                <w:szCs w:val="24"/>
              </w:rPr>
              <w:t xml:space="preserve">, </w:t>
            </w:r>
            <w:r w:rsidR="00234382" w:rsidRPr="00234382">
              <w:rPr>
                <w:rFonts w:ascii="Times New Roman" w:hAnsi="Times New Roman" w:cs="Times New Roman"/>
                <w:bCs/>
                <w:sz w:val="24"/>
                <w:szCs w:val="24"/>
                <w:lang w:eastAsia="vi-VN"/>
              </w:rPr>
              <w:t>Quyết định số 2470/QĐ-UBND ngày 21/10/2025 và Quyết định số 643/QĐ-UBND ngày 08/3/2025 của UBND tỉnh Kiên Giang (trước sáp nhập)</w:t>
            </w:r>
          </w:p>
        </w:tc>
        <w:tc>
          <w:tcPr>
            <w:tcW w:w="4317" w:type="dxa"/>
            <w:tcBorders>
              <w:top w:val="dashSmallGap" w:sz="4" w:space="0" w:color="auto"/>
            </w:tcBorders>
          </w:tcPr>
          <w:p w14:paraId="2A018E78" w14:textId="11BE4D56" w:rsidR="00902038" w:rsidRPr="00234382" w:rsidRDefault="00942892" w:rsidP="009A206A">
            <w:pPr>
              <w:spacing w:before="120"/>
              <w:jc w:val="both"/>
              <w:rPr>
                <w:rFonts w:ascii="Times New Roman" w:hAnsi="Times New Roman" w:cs="Times New Roman"/>
                <w:bCs/>
                <w:color w:val="000000" w:themeColor="text1"/>
                <w:sz w:val="24"/>
                <w:szCs w:val="24"/>
              </w:rPr>
            </w:pPr>
            <w:r w:rsidRPr="00942892">
              <w:rPr>
                <w:rFonts w:ascii="Times New Roman" w:hAnsi="Times New Roman" w:cs="Times New Roman"/>
                <w:bCs/>
                <w:color w:val="000000" w:themeColor="text1"/>
                <w:sz w:val="24"/>
                <w:szCs w:val="24"/>
              </w:rPr>
              <w:t>Dự thảo quy định hiệu lực thi hành của Quyết định và việc bãi bỏ các quyết định đã ban hành trước đây trong lĩnh vực phát thanh, truyền hình nhằm thiết lập một hệ thống định mức kinh tế – kỹ thuật thống nhất áp dụng trên toàn tỉnh sau sáp nhập, bảo đảm thuận lợi trong quản lý chuyên môn và tài chính.</w:t>
            </w:r>
          </w:p>
        </w:tc>
      </w:tr>
    </w:tbl>
    <w:p w14:paraId="796504DC" w14:textId="77777777" w:rsidR="008E2226" w:rsidRDefault="008E2226" w:rsidP="00330A20">
      <w:pPr>
        <w:jc w:val="both"/>
        <w:rPr>
          <w:rFonts w:ascii="Times New Roman" w:hAnsi="Times New Roman" w:cs="Times New Roman"/>
          <w:b/>
          <w:color w:val="000000" w:themeColor="text1"/>
          <w:sz w:val="24"/>
          <w:szCs w:val="24"/>
        </w:rPr>
      </w:pPr>
    </w:p>
    <w:sectPr w:rsidR="008E2226" w:rsidSect="00902038">
      <w:footerReference w:type="default" r:id="rId8"/>
      <w:pgSz w:w="15840" w:h="12240" w:orient="landscape" w:code="1"/>
      <w:pgMar w:top="964" w:right="964" w:bottom="907"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A2C5A" w14:textId="77777777" w:rsidR="00051B07" w:rsidRDefault="00051B07" w:rsidP="00AB4F88">
      <w:pPr>
        <w:spacing w:after="0" w:line="240" w:lineRule="auto"/>
      </w:pPr>
      <w:r>
        <w:separator/>
      </w:r>
    </w:p>
  </w:endnote>
  <w:endnote w:type="continuationSeparator" w:id="0">
    <w:p w14:paraId="0E716194" w14:textId="77777777" w:rsidR="00051B07" w:rsidRDefault="00051B07" w:rsidP="00AB4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6104132"/>
      <w:docPartObj>
        <w:docPartGallery w:val="Page Numbers (Bottom of Page)"/>
        <w:docPartUnique/>
      </w:docPartObj>
    </w:sdtPr>
    <w:sdtEndPr>
      <w:rPr>
        <w:noProof/>
      </w:rPr>
    </w:sdtEndPr>
    <w:sdtContent>
      <w:p w14:paraId="4DF68450" w14:textId="77777777" w:rsidR="00255B6A" w:rsidRDefault="00255B6A">
        <w:pPr>
          <w:pStyle w:val="Footer"/>
          <w:jc w:val="center"/>
        </w:pPr>
        <w:r>
          <w:fldChar w:fldCharType="begin"/>
        </w:r>
        <w:r>
          <w:instrText xml:space="preserve"> PAGE   \* MERGEFORMAT </w:instrText>
        </w:r>
        <w:r>
          <w:fldChar w:fldCharType="separate"/>
        </w:r>
        <w:r>
          <w:rPr>
            <w:noProof/>
          </w:rPr>
          <w:t>25</w:t>
        </w:r>
        <w:r>
          <w:rPr>
            <w:noProof/>
          </w:rPr>
          <w:fldChar w:fldCharType="end"/>
        </w:r>
      </w:p>
    </w:sdtContent>
  </w:sdt>
  <w:p w14:paraId="053ECCB4" w14:textId="77777777" w:rsidR="00255B6A" w:rsidRDefault="00255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FD379" w14:textId="77777777" w:rsidR="00051B07" w:rsidRDefault="00051B07" w:rsidP="00AB4F88">
      <w:pPr>
        <w:spacing w:after="0" w:line="240" w:lineRule="auto"/>
      </w:pPr>
      <w:r>
        <w:separator/>
      </w:r>
    </w:p>
  </w:footnote>
  <w:footnote w:type="continuationSeparator" w:id="0">
    <w:p w14:paraId="7561CDB4" w14:textId="77777777" w:rsidR="00051B07" w:rsidRDefault="00051B07" w:rsidP="00AB4F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93141"/>
    <w:multiLevelType w:val="hybridMultilevel"/>
    <w:tmpl w:val="29F8645C"/>
    <w:lvl w:ilvl="0" w:tplc="51826B9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58038C"/>
    <w:multiLevelType w:val="multilevel"/>
    <w:tmpl w:val="9E6AD8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D047701"/>
    <w:multiLevelType w:val="hybridMultilevel"/>
    <w:tmpl w:val="EB5EF3FA"/>
    <w:lvl w:ilvl="0" w:tplc="7414BA1A">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9E4450"/>
    <w:multiLevelType w:val="hybridMultilevel"/>
    <w:tmpl w:val="6966C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3028F0"/>
    <w:multiLevelType w:val="hybridMultilevel"/>
    <w:tmpl w:val="70E45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FD6128"/>
    <w:multiLevelType w:val="hybridMultilevel"/>
    <w:tmpl w:val="5F84D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6563812">
    <w:abstractNumId w:val="5"/>
  </w:num>
  <w:num w:numId="2" w16cid:durableId="581332456">
    <w:abstractNumId w:val="2"/>
  </w:num>
  <w:num w:numId="3" w16cid:durableId="1844126664">
    <w:abstractNumId w:val="0"/>
  </w:num>
  <w:num w:numId="4" w16cid:durableId="870530491">
    <w:abstractNumId w:val="4"/>
  </w:num>
  <w:num w:numId="5" w16cid:durableId="1393385655">
    <w:abstractNumId w:val="3"/>
  </w:num>
  <w:num w:numId="6" w16cid:durableId="196048595">
    <w:abstractNumId w:val="1"/>
  </w:num>
  <w:num w:numId="7" w16cid:durableId="8897314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226"/>
    <w:rsid w:val="00000EF3"/>
    <w:rsid w:val="000137C0"/>
    <w:rsid w:val="00016E17"/>
    <w:rsid w:val="00034693"/>
    <w:rsid w:val="00044136"/>
    <w:rsid w:val="00046F43"/>
    <w:rsid w:val="00051B07"/>
    <w:rsid w:val="00054C71"/>
    <w:rsid w:val="00057673"/>
    <w:rsid w:val="000741B7"/>
    <w:rsid w:val="00080809"/>
    <w:rsid w:val="000821A5"/>
    <w:rsid w:val="00086C0D"/>
    <w:rsid w:val="000A3069"/>
    <w:rsid w:val="000A4F3A"/>
    <w:rsid w:val="000B0827"/>
    <w:rsid w:val="000B1ADD"/>
    <w:rsid w:val="000C5B0B"/>
    <w:rsid w:val="000D6D9E"/>
    <w:rsid w:val="000E0521"/>
    <w:rsid w:val="000E3EDC"/>
    <w:rsid w:val="001152A5"/>
    <w:rsid w:val="001266F1"/>
    <w:rsid w:val="001454B0"/>
    <w:rsid w:val="0015179E"/>
    <w:rsid w:val="00154BE3"/>
    <w:rsid w:val="00172715"/>
    <w:rsid w:val="00192088"/>
    <w:rsid w:val="001A7843"/>
    <w:rsid w:val="001B1DFC"/>
    <w:rsid w:val="001C4A92"/>
    <w:rsid w:val="001C6CFC"/>
    <w:rsid w:val="001D190F"/>
    <w:rsid w:val="001D5154"/>
    <w:rsid w:val="001E05E7"/>
    <w:rsid w:val="001E25A8"/>
    <w:rsid w:val="001E3CF9"/>
    <w:rsid w:val="001F00AF"/>
    <w:rsid w:val="001F2C21"/>
    <w:rsid w:val="001F7602"/>
    <w:rsid w:val="00206A12"/>
    <w:rsid w:val="002205F5"/>
    <w:rsid w:val="002213F1"/>
    <w:rsid w:val="00234382"/>
    <w:rsid w:val="00245517"/>
    <w:rsid w:val="00255B6A"/>
    <w:rsid w:val="002578F2"/>
    <w:rsid w:val="0026307C"/>
    <w:rsid w:val="00287370"/>
    <w:rsid w:val="002963FA"/>
    <w:rsid w:val="002A140E"/>
    <w:rsid w:val="003060B4"/>
    <w:rsid w:val="00322FF0"/>
    <w:rsid w:val="00324845"/>
    <w:rsid w:val="00325984"/>
    <w:rsid w:val="00330A20"/>
    <w:rsid w:val="0033287D"/>
    <w:rsid w:val="003564DB"/>
    <w:rsid w:val="00356AC5"/>
    <w:rsid w:val="0036304A"/>
    <w:rsid w:val="003635D9"/>
    <w:rsid w:val="00367440"/>
    <w:rsid w:val="00392674"/>
    <w:rsid w:val="003A7F47"/>
    <w:rsid w:val="003B2892"/>
    <w:rsid w:val="003B572C"/>
    <w:rsid w:val="003D2B06"/>
    <w:rsid w:val="003D4AD3"/>
    <w:rsid w:val="003E6422"/>
    <w:rsid w:val="003E7833"/>
    <w:rsid w:val="003E7EAE"/>
    <w:rsid w:val="00423456"/>
    <w:rsid w:val="0043190B"/>
    <w:rsid w:val="00451D1E"/>
    <w:rsid w:val="004569E5"/>
    <w:rsid w:val="00460336"/>
    <w:rsid w:val="00461DC8"/>
    <w:rsid w:val="00466B00"/>
    <w:rsid w:val="004A3809"/>
    <w:rsid w:val="004A3D85"/>
    <w:rsid w:val="004B4FD3"/>
    <w:rsid w:val="004C3620"/>
    <w:rsid w:val="004C3DE8"/>
    <w:rsid w:val="004C7458"/>
    <w:rsid w:val="004D0288"/>
    <w:rsid w:val="004E051F"/>
    <w:rsid w:val="004E7C86"/>
    <w:rsid w:val="004E7D97"/>
    <w:rsid w:val="00505919"/>
    <w:rsid w:val="00513394"/>
    <w:rsid w:val="005141F0"/>
    <w:rsid w:val="0051467E"/>
    <w:rsid w:val="00517977"/>
    <w:rsid w:val="00533096"/>
    <w:rsid w:val="005448FD"/>
    <w:rsid w:val="005468F0"/>
    <w:rsid w:val="00550421"/>
    <w:rsid w:val="00570AD6"/>
    <w:rsid w:val="00571EC6"/>
    <w:rsid w:val="0058248E"/>
    <w:rsid w:val="005A2972"/>
    <w:rsid w:val="005E6C79"/>
    <w:rsid w:val="005F2C40"/>
    <w:rsid w:val="005F673E"/>
    <w:rsid w:val="00602317"/>
    <w:rsid w:val="006113B6"/>
    <w:rsid w:val="00621A7E"/>
    <w:rsid w:val="00633948"/>
    <w:rsid w:val="006415E4"/>
    <w:rsid w:val="00657303"/>
    <w:rsid w:val="006A321B"/>
    <w:rsid w:val="006B3CE1"/>
    <w:rsid w:val="006B4323"/>
    <w:rsid w:val="006B55FA"/>
    <w:rsid w:val="006B7C93"/>
    <w:rsid w:val="006C6047"/>
    <w:rsid w:val="006D1ECD"/>
    <w:rsid w:val="006F05BF"/>
    <w:rsid w:val="006F14DD"/>
    <w:rsid w:val="007001E3"/>
    <w:rsid w:val="00700941"/>
    <w:rsid w:val="00712FE1"/>
    <w:rsid w:val="007220FD"/>
    <w:rsid w:val="007229BC"/>
    <w:rsid w:val="00726846"/>
    <w:rsid w:val="007278E2"/>
    <w:rsid w:val="00737345"/>
    <w:rsid w:val="00762AF7"/>
    <w:rsid w:val="007653F0"/>
    <w:rsid w:val="00770B6E"/>
    <w:rsid w:val="007756E7"/>
    <w:rsid w:val="00776712"/>
    <w:rsid w:val="00783831"/>
    <w:rsid w:val="007956E8"/>
    <w:rsid w:val="007A3A87"/>
    <w:rsid w:val="007A690C"/>
    <w:rsid w:val="007B6E0E"/>
    <w:rsid w:val="007D1A8F"/>
    <w:rsid w:val="007D3FB2"/>
    <w:rsid w:val="00800733"/>
    <w:rsid w:val="008018D1"/>
    <w:rsid w:val="00805923"/>
    <w:rsid w:val="00805C16"/>
    <w:rsid w:val="00837BBE"/>
    <w:rsid w:val="008428CD"/>
    <w:rsid w:val="00873BB9"/>
    <w:rsid w:val="00885898"/>
    <w:rsid w:val="0089105B"/>
    <w:rsid w:val="00893B85"/>
    <w:rsid w:val="008A454F"/>
    <w:rsid w:val="008B4E03"/>
    <w:rsid w:val="008C13E7"/>
    <w:rsid w:val="008C5E35"/>
    <w:rsid w:val="008D4DC9"/>
    <w:rsid w:val="008E2226"/>
    <w:rsid w:val="00902038"/>
    <w:rsid w:val="00906D5E"/>
    <w:rsid w:val="00911623"/>
    <w:rsid w:val="00942892"/>
    <w:rsid w:val="00957CBD"/>
    <w:rsid w:val="00962A03"/>
    <w:rsid w:val="0099117D"/>
    <w:rsid w:val="009A73CE"/>
    <w:rsid w:val="009B32D0"/>
    <w:rsid w:val="009C4CE2"/>
    <w:rsid w:val="009D737A"/>
    <w:rsid w:val="009E433B"/>
    <w:rsid w:val="009E7F18"/>
    <w:rsid w:val="00A04EAB"/>
    <w:rsid w:val="00A41F3F"/>
    <w:rsid w:val="00A442AD"/>
    <w:rsid w:val="00A452DC"/>
    <w:rsid w:val="00A5215E"/>
    <w:rsid w:val="00A55930"/>
    <w:rsid w:val="00A61DE2"/>
    <w:rsid w:val="00A6652C"/>
    <w:rsid w:val="00A76102"/>
    <w:rsid w:val="00A80591"/>
    <w:rsid w:val="00A83C3B"/>
    <w:rsid w:val="00A866B5"/>
    <w:rsid w:val="00AA161F"/>
    <w:rsid w:val="00AA6282"/>
    <w:rsid w:val="00AB4F88"/>
    <w:rsid w:val="00AC1088"/>
    <w:rsid w:val="00AE65EE"/>
    <w:rsid w:val="00AE6D64"/>
    <w:rsid w:val="00AF57A7"/>
    <w:rsid w:val="00B26161"/>
    <w:rsid w:val="00B358A3"/>
    <w:rsid w:val="00B47DA6"/>
    <w:rsid w:val="00B60B7C"/>
    <w:rsid w:val="00B64FD0"/>
    <w:rsid w:val="00B93D91"/>
    <w:rsid w:val="00BA64BC"/>
    <w:rsid w:val="00BA6988"/>
    <w:rsid w:val="00BC37BF"/>
    <w:rsid w:val="00BF5036"/>
    <w:rsid w:val="00BF5D81"/>
    <w:rsid w:val="00C00B4F"/>
    <w:rsid w:val="00C11074"/>
    <w:rsid w:val="00C30E9E"/>
    <w:rsid w:val="00C30F56"/>
    <w:rsid w:val="00C32F82"/>
    <w:rsid w:val="00C36B03"/>
    <w:rsid w:val="00C43A69"/>
    <w:rsid w:val="00C545A9"/>
    <w:rsid w:val="00C656C0"/>
    <w:rsid w:val="00C711C5"/>
    <w:rsid w:val="00C71AF4"/>
    <w:rsid w:val="00C759A5"/>
    <w:rsid w:val="00C87707"/>
    <w:rsid w:val="00C90675"/>
    <w:rsid w:val="00CA64B8"/>
    <w:rsid w:val="00CB61D3"/>
    <w:rsid w:val="00CC2D28"/>
    <w:rsid w:val="00CD2962"/>
    <w:rsid w:val="00CE75DD"/>
    <w:rsid w:val="00D11DCA"/>
    <w:rsid w:val="00D130DC"/>
    <w:rsid w:val="00D21DD4"/>
    <w:rsid w:val="00D2299B"/>
    <w:rsid w:val="00D25299"/>
    <w:rsid w:val="00D57274"/>
    <w:rsid w:val="00D65874"/>
    <w:rsid w:val="00D67B30"/>
    <w:rsid w:val="00D67E72"/>
    <w:rsid w:val="00D8010C"/>
    <w:rsid w:val="00D86B42"/>
    <w:rsid w:val="00D966C9"/>
    <w:rsid w:val="00D9762B"/>
    <w:rsid w:val="00DB3343"/>
    <w:rsid w:val="00DD65D6"/>
    <w:rsid w:val="00E03816"/>
    <w:rsid w:val="00E0574B"/>
    <w:rsid w:val="00E07D08"/>
    <w:rsid w:val="00E13E99"/>
    <w:rsid w:val="00E157B9"/>
    <w:rsid w:val="00E20F45"/>
    <w:rsid w:val="00E33423"/>
    <w:rsid w:val="00E368A1"/>
    <w:rsid w:val="00E41F8D"/>
    <w:rsid w:val="00E548FE"/>
    <w:rsid w:val="00E572B4"/>
    <w:rsid w:val="00E65FEB"/>
    <w:rsid w:val="00E7498C"/>
    <w:rsid w:val="00E878A6"/>
    <w:rsid w:val="00E97C07"/>
    <w:rsid w:val="00EA00CE"/>
    <w:rsid w:val="00EA21F4"/>
    <w:rsid w:val="00EA7153"/>
    <w:rsid w:val="00EB0111"/>
    <w:rsid w:val="00EB7109"/>
    <w:rsid w:val="00F1309F"/>
    <w:rsid w:val="00F152E6"/>
    <w:rsid w:val="00F218D9"/>
    <w:rsid w:val="00F24197"/>
    <w:rsid w:val="00F247F9"/>
    <w:rsid w:val="00F71355"/>
    <w:rsid w:val="00F816C8"/>
    <w:rsid w:val="00F816EF"/>
    <w:rsid w:val="00F87C52"/>
    <w:rsid w:val="00F9694A"/>
    <w:rsid w:val="00FA0AB4"/>
    <w:rsid w:val="00FA142D"/>
    <w:rsid w:val="00FA38B0"/>
    <w:rsid w:val="00FC317B"/>
    <w:rsid w:val="00FD2B85"/>
    <w:rsid w:val="00FD511D"/>
    <w:rsid w:val="00FE7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F1725"/>
  <w15:chartTrackingRefBased/>
  <w15:docId w15:val="{D1FEEAEA-AB30-4D35-85E8-9634F04FF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2317"/>
    <w:pPr>
      <w:keepNext/>
      <w:spacing w:before="120" w:after="0" w:line="240" w:lineRule="auto"/>
      <w:outlineLvl w:val="0"/>
    </w:pPr>
    <w:rPr>
      <w:rFonts w:ascii=".VnTime" w:eastAsia="Times New Roman" w:hAnsi=".VnTime" w:cs="Times New Roman"/>
      <w:i/>
      <w:color w:val="800000"/>
      <w:sz w:val="20"/>
      <w:szCs w:val="20"/>
    </w:rPr>
  </w:style>
  <w:style w:type="paragraph" w:styleId="Heading2">
    <w:name w:val="heading 2"/>
    <w:basedOn w:val="Normal"/>
    <w:next w:val="Normal"/>
    <w:link w:val="Heading2Char"/>
    <w:uiPriority w:val="9"/>
    <w:semiHidden/>
    <w:unhideWhenUsed/>
    <w:qFormat/>
    <w:rsid w:val="0090203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222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E2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E2226"/>
    <w:rPr>
      <w:color w:val="0000FF"/>
      <w:u w:val="single"/>
    </w:rPr>
  </w:style>
  <w:style w:type="character" w:customStyle="1" w:styleId="Heading1Char">
    <w:name w:val="Heading 1 Char"/>
    <w:basedOn w:val="DefaultParagraphFont"/>
    <w:link w:val="Heading1"/>
    <w:uiPriority w:val="9"/>
    <w:rsid w:val="00602317"/>
    <w:rPr>
      <w:rFonts w:ascii=".VnTime" w:eastAsia="Times New Roman" w:hAnsi=".VnTime" w:cs="Times New Roman"/>
      <w:i/>
      <w:color w:val="800000"/>
      <w:sz w:val="20"/>
      <w:szCs w:val="20"/>
    </w:rPr>
  </w:style>
  <w:style w:type="paragraph" w:styleId="ListParagraph">
    <w:name w:val="List Paragraph"/>
    <w:basedOn w:val="Normal"/>
    <w:uiPriority w:val="34"/>
    <w:qFormat/>
    <w:rsid w:val="005E6C79"/>
    <w:pPr>
      <w:ind w:left="720"/>
      <w:contextualSpacing/>
    </w:pPr>
  </w:style>
  <w:style w:type="paragraph" w:styleId="Header">
    <w:name w:val="header"/>
    <w:basedOn w:val="Normal"/>
    <w:link w:val="HeaderChar"/>
    <w:uiPriority w:val="99"/>
    <w:unhideWhenUsed/>
    <w:rsid w:val="00AB4F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F88"/>
  </w:style>
  <w:style w:type="paragraph" w:styleId="Footer">
    <w:name w:val="footer"/>
    <w:basedOn w:val="Normal"/>
    <w:link w:val="FooterChar"/>
    <w:uiPriority w:val="99"/>
    <w:unhideWhenUsed/>
    <w:rsid w:val="00AB4F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F88"/>
  </w:style>
  <w:style w:type="paragraph" w:styleId="FootnoteText">
    <w:name w:val="footnote text"/>
    <w:basedOn w:val="Normal"/>
    <w:link w:val="FootnoteTextChar"/>
    <w:uiPriority w:val="99"/>
    <w:semiHidden/>
    <w:unhideWhenUsed/>
    <w:rsid w:val="007220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20FD"/>
    <w:rPr>
      <w:sz w:val="20"/>
      <w:szCs w:val="20"/>
    </w:rPr>
  </w:style>
  <w:style w:type="character" w:styleId="FootnoteReference">
    <w:name w:val="footnote reference"/>
    <w:basedOn w:val="DefaultParagraphFont"/>
    <w:uiPriority w:val="99"/>
    <w:semiHidden/>
    <w:unhideWhenUsed/>
    <w:rsid w:val="007220FD"/>
    <w:rPr>
      <w:vertAlign w:val="superscript"/>
    </w:rPr>
  </w:style>
  <w:style w:type="character" w:customStyle="1" w:styleId="CommentTextChar">
    <w:name w:val="Comment Text Char"/>
    <w:basedOn w:val="DefaultParagraphFont"/>
    <w:link w:val="CommentText"/>
    <w:rsid w:val="00E13E99"/>
    <w:rPr>
      <w:rFonts w:ascii="Times New Roman" w:eastAsia="Times New Roman" w:hAnsi="Times New Roman" w:cs="Times New Roman"/>
      <w:sz w:val="20"/>
      <w:szCs w:val="20"/>
    </w:rPr>
  </w:style>
  <w:style w:type="paragraph" w:styleId="CommentText">
    <w:name w:val="annotation text"/>
    <w:basedOn w:val="Normal"/>
    <w:link w:val="CommentTextChar"/>
    <w:rsid w:val="00E13E99"/>
    <w:pPr>
      <w:spacing w:after="0" w:line="240" w:lineRule="auto"/>
    </w:pPr>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E13E99"/>
    <w:rPr>
      <w:sz w:val="20"/>
      <w:szCs w:val="20"/>
    </w:rPr>
  </w:style>
  <w:style w:type="character" w:styleId="CommentReference">
    <w:name w:val="annotation reference"/>
    <w:rsid w:val="00E13E99"/>
    <w:rPr>
      <w:sz w:val="16"/>
      <w:szCs w:val="16"/>
    </w:rPr>
  </w:style>
  <w:style w:type="character" w:customStyle="1" w:styleId="Heading2Char">
    <w:name w:val="Heading 2 Char"/>
    <w:basedOn w:val="DefaultParagraphFont"/>
    <w:link w:val="Heading2"/>
    <w:uiPriority w:val="9"/>
    <w:semiHidden/>
    <w:rsid w:val="00902038"/>
    <w:rPr>
      <w:rFonts w:asciiTheme="majorHAnsi" w:eastAsiaTheme="majorEastAsia" w:hAnsiTheme="majorHAnsi" w:cstheme="majorBidi"/>
      <w:color w:val="2E74B5" w:themeColor="accent1" w:themeShade="BF"/>
      <w:sz w:val="26"/>
      <w:szCs w:val="26"/>
    </w:rPr>
  </w:style>
  <w:style w:type="character" w:customStyle="1" w:styleId="Bodytext">
    <w:name w:val="Body text_"/>
    <w:link w:val="BodyText1"/>
    <w:rsid w:val="00AA161F"/>
    <w:rPr>
      <w:shd w:val="clear" w:color="auto" w:fill="FFFFFF"/>
    </w:rPr>
  </w:style>
  <w:style w:type="paragraph" w:customStyle="1" w:styleId="BodyText1">
    <w:name w:val="Body Text1"/>
    <w:basedOn w:val="Normal"/>
    <w:link w:val="Bodytext"/>
    <w:rsid w:val="00AA161F"/>
    <w:pPr>
      <w:widowControl w:val="0"/>
      <w:shd w:val="clear" w:color="auto" w:fill="FFFFFF"/>
      <w:spacing w:after="0" w:line="307"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7742">
      <w:bodyDiv w:val="1"/>
      <w:marLeft w:val="0"/>
      <w:marRight w:val="0"/>
      <w:marTop w:val="0"/>
      <w:marBottom w:val="0"/>
      <w:divBdr>
        <w:top w:val="none" w:sz="0" w:space="0" w:color="auto"/>
        <w:left w:val="none" w:sz="0" w:space="0" w:color="auto"/>
        <w:bottom w:val="none" w:sz="0" w:space="0" w:color="auto"/>
        <w:right w:val="none" w:sz="0" w:space="0" w:color="auto"/>
      </w:divBdr>
    </w:div>
    <w:div w:id="129128511">
      <w:bodyDiv w:val="1"/>
      <w:marLeft w:val="0"/>
      <w:marRight w:val="0"/>
      <w:marTop w:val="0"/>
      <w:marBottom w:val="0"/>
      <w:divBdr>
        <w:top w:val="none" w:sz="0" w:space="0" w:color="auto"/>
        <w:left w:val="none" w:sz="0" w:space="0" w:color="auto"/>
        <w:bottom w:val="none" w:sz="0" w:space="0" w:color="auto"/>
        <w:right w:val="none" w:sz="0" w:space="0" w:color="auto"/>
      </w:divBdr>
    </w:div>
    <w:div w:id="206991900">
      <w:bodyDiv w:val="1"/>
      <w:marLeft w:val="0"/>
      <w:marRight w:val="0"/>
      <w:marTop w:val="0"/>
      <w:marBottom w:val="0"/>
      <w:divBdr>
        <w:top w:val="none" w:sz="0" w:space="0" w:color="auto"/>
        <w:left w:val="none" w:sz="0" w:space="0" w:color="auto"/>
        <w:bottom w:val="none" w:sz="0" w:space="0" w:color="auto"/>
        <w:right w:val="none" w:sz="0" w:space="0" w:color="auto"/>
      </w:divBdr>
    </w:div>
    <w:div w:id="380060295">
      <w:bodyDiv w:val="1"/>
      <w:marLeft w:val="0"/>
      <w:marRight w:val="0"/>
      <w:marTop w:val="0"/>
      <w:marBottom w:val="0"/>
      <w:divBdr>
        <w:top w:val="none" w:sz="0" w:space="0" w:color="auto"/>
        <w:left w:val="none" w:sz="0" w:space="0" w:color="auto"/>
        <w:bottom w:val="none" w:sz="0" w:space="0" w:color="auto"/>
        <w:right w:val="none" w:sz="0" w:space="0" w:color="auto"/>
      </w:divBdr>
    </w:div>
    <w:div w:id="381633951">
      <w:bodyDiv w:val="1"/>
      <w:marLeft w:val="0"/>
      <w:marRight w:val="0"/>
      <w:marTop w:val="0"/>
      <w:marBottom w:val="0"/>
      <w:divBdr>
        <w:top w:val="none" w:sz="0" w:space="0" w:color="auto"/>
        <w:left w:val="none" w:sz="0" w:space="0" w:color="auto"/>
        <w:bottom w:val="none" w:sz="0" w:space="0" w:color="auto"/>
        <w:right w:val="none" w:sz="0" w:space="0" w:color="auto"/>
      </w:divBdr>
    </w:div>
    <w:div w:id="553346323">
      <w:bodyDiv w:val="1"/>
      <w:marLeft w:val="0"/>
      <w:marRight w:val="0"/>
      <w:marTop w:val="0"/>
      <w:marBottom w:val="0"/>
      <w:divBdr>
        <w:top w:val="none" w:sz="0" w:space="0" w:color="auto"/>
        <w:left w:val="none" w:sz="0" w:space="0" w:color="auto"/>
        <w:bottom w:val="none" w:sz="0" w:space="0" w:color="auto"/>
        <w:right w:val="none" w:sz="0" w:space="0" w:color="auto"/>
      </w:divBdr>
    </w:div>
    <w:div w:id="605819203">
      <w:bodyDiv w:val="1"/>
      <w:marLeft w:val="0"/>
      <w:marRight w:val="0"/>
      <w:marTop w:val="0"/>
      <w:marBottom w:val="0"/>
      <w:divBdr>
        <w:top w:val="none" w:sz="0" w:space="0" w:color="auto"/>
        <w:left w:val="none" w:sz="0" w:space="0" w:color="auto"/>
        <w:bottom w:val="none" w:sz="0" w:space="0" w:color="auto"/>
        <w:right w:val="none" w:sz="0" w:space="0" w:color="auto"/>
      </w:divBdr>
    </w:div>
    <w:div w:id="618225033">
      <w:bodyDiv w:val="1"/>
      <w:marLeft w:val="0"/>
      <w:marRight w:val="0"/>
      <w:marTop w:val="0"/>
      <w:marBottom w:val="0"/>
      <w:divBdr>
        <w:top w:val="none" w:sz="0" w:space="0" w:color="auto"/>
        <w:left w:val="none" w:sz="0" w:space="0" w:color="auto"/>
        <w:bottom w:val="none" w:sz="0" w:space="0" w:color="auto"/>
        <w:right w:val="none" w:sz="0" w:space="0" w:color="auto"/>
      </w:divBdr>
    </w:div>
    <w:div w:id="620458021">
      <w:bodyDiv w:val="1"/>
      <w:marLeft w:val="0"/>
      <w:marRight w:val="0"/>
      <w:marTop w:val="0"/>
      <w:marBottom w:val="0"/>
      <w:divBdr>
        <w:top w:val="none" w:sz="0" w:space="0" w:color="auto"/>
        <w:left w:val="none" w:sz="0" w:space="0" w:color="auto"/>
        <w:bottom w:val="none" w:sz="0" w:space="0" w:color="auto"/>
        <w:right w:val="none" w:sz="0" w:space="0" w:color="auto"/>
      </w:divBdr>
    </w:div>
    <w:div w:id="637760060">
      <w:bodyDiv w:val="1"/>
      <w:marLeft w:val="0"/>
      <w:marRight w:val="0"/>
      <w:marTop w:val="0"/>
      <w:marBottom w:val="0"/>
      <w:divBdr>
        <w:top w:val="none" w:sz="0" w:space="0" w:color="auto"/>
        <w:left w:val="none" w:sz="0" w:space="0" w:color="auto"/>
        <w:bottom w:val="none" w:sz="0" w:space="0" w:color="auto"/>
        <w:right w:val="none" w:sz="0" w:space="0" w:color="auto"/>
      </w:divBdr>
    </w:div>
    <w:div w:id="638069479">
      <w:bodyDiv w:val="1"/>
      <w:marLeft w:val="0"/>
      <w:marRight w:val="0"/>
      <w:marTop w:val="0"/>
      <w:marBottom w:val="0"/>
      <w:divBdr>
        <w:top w:val="none" w:sz="0" w:space="0" w:color="auto"/>
        <w:left w:val="none" w:sz="0" w:space="0" w:color="auto"/>
        <w:bottom w:val="none" w:sz="0" w:space="0" w:color="auto"/>
        <w:right w:val="none" w:sz="0" w:space="0" w:color="auto"/>
      </w:divBdr>
    </w:div>
    <w:div w:id="672412737">
      <w:bodyDiv w:val="1"/>
      <w:marLeft w:val="0"/>
      <w:marRight w:val="0"/>
      <w:marTop w:val="0"/>
      <w:marBottom w:val="0"/>
      <w:divBdr>
        <w:top w:val="none" w:sz="0" w:space="0" w:color="auto"/>
        <w:left w:val="none" w:sz="0" w:space="0" w:color="auto"/>
        <w:bottom w:val="none" w:sz="0" w:space="0" w:color="auto"/>
        <w:right w:val="none" w:sz="0" w:space="0" w:color="auto"/>
      </w:divBdr>
    </w:div>
    <w:div w:id="689405716">
      <w:bodyDiv w:val="1"/>
      <w:marLeft w:val="0"/>
      <w:marRight w:val="0"/>
      <w:marTop w:val="0"/>
      <w:marBottom w:val="0"/>
      <w:divBdr>
        <w:top w:val="none" w:sz="0" w:space="0" w:color="auto"/>
        <w:left w:val="none" w:sz="0" w:space="0" w:color="auto"/>
        <w:bottom w:val="none" w:sz="0" w:space="0" w:color="auto"/>
        <w:right w:val="none" w:sz="0" w:space="0" w:color="auto"/>
      </w:divBdr>
    </w:div>
    <w:div w:id="752242635">
      <w:bodyDiv w:val="1"/>
      <w:marLeft w:val="0"/>
      <w:marRight w:val="0"/>
      <w:marTop w:val="0"/>
      <w:marBottom w:val="0"/>
      <w:divBdr>
        <w:top w:val="none" w:sz="0" w:space="0" w:color="auto"/>
        <w:left w:val="none" w:sz="0" w:space="0" w:color="auto"/>
        <w:bottom w:val="none" w:sz="0" w:space="0" w:color="auto"/>
        <w:right w:val="none" w:sz="0" w:space="0" w:color="auto"/>
      </w:divBdr>
    </w:div>
    <w:div w:id="915479868">
      <w:bodyDiv w:val="1"/>
      <w:marLeft w:val="0"/>
      <w:marRight w:val="0"/>
      <w:marTop w:val="0"/>
      <w:marBottom w:val="0"/>
      <w:divBdr>
        <w:top w:val="none" w:sz="0" w:space="0" w:color="auto"/>
        <w:left w:val="none" w:sz="0" w:space="0" w:color="auto"/>
        <w:bottom w:val="none" w:sz="0" w:space="0" w:color="auto"/>
        <w:right w:val="none" w:sz="0" w:space="0" w:color="auto"/>
      </w:divBdr>
    </w:div>
    <w:div w:id="945425207">
      <w:bodyDiv w:val="1"/>
      <w:marLeft w:val="0"/>
      <w:marRight w:val="0"/>
      <w:marTop w:val="0"/>
      <w:marBottom w:val="0"/>
      <w:divBdr>
        <w:top w:val="none" w:sz="0" w:space="0" w:color="auto"/>
        <w:left w:val="none" w:sz="0" w:space="0" w:color="auto"/>
        <w:bottom w:val="none" w:sz="0" w:space="0" w:color="auto"/>
        <w:right w:val="none" w:sz="0" w:space="0" w:color="auto"/>
      </w:divBdr>
    </w:div>
    <w:div w:id="970284537">
      <w:bodyDiv w:val="1"/>
      <w:marLeft w:val="0"/>
      <w:marRight w:val="0"/>
      <w:marTop w:val="0"/>
      <w:marBottom w:val="0"/>
      <w:divBdr>
        <w:top w:val="none" w:sz="0" w:space="0" w:color="auto"/>
        <w:left w:val="none" w:sz="0" w:space="0" w:color="auto"/>
        <w:bottom w:val="none" w:sz="0" w:space="0" w:color="auto"/>
        <w:right w:val="none" w:sz="0" w:space="0" w:color="auto"/>
      </w:divBdr>
    </w:div>
    <w:div w:id="1018040504">
      <w:bodyDiv w:val="1"/>
      <w:marLeft w:val="0"/>
      <w:marRight w:val="0"/>
      <w:marTop w:val="0"/>
      <w:marBottom w:val="0"/>
      <w:divBdr>
        <w:top w:val="none" w:sz="0" w:space="0" w:color="auto"/>
        <w:left w:val="none" w:sz="0" w:space="0" w:color="auto"/>
        <w:bottom w:val="none" w:sz="0" w:space="0" w:color="auto"/>
        <w:right w:val="none" w:sz="0" w:space="0" w:color="auto"/>
      </w:divBdr>
    </w:div>
    <w:div w:id="1194461451">
      <w:bodyDiv w:val="1"/>
      <w:marLeft w:val="0"/>
      <w:marRight w:val="0"/>
      <w:marTop w:val="0"/>
      <w:marBottom w:val="0"/>
      <w:divBdr>
        <w:top w:val="none" w:sz="0" w:space="0" w:color="auto"/>
        <w:left w:val="none" w:sz="0" w:space="0" w:color="auto"/>
        <w:bottom w:val="none" w:sz="0" w:space="0" w:color="auto"/>
        <w:right w:val="none" w:sz="0" w:space="0" w:color="auto"/>
      </w:divBdr>
    </w:div>
    <w:div w:id="1241595964">
      <w:bodyDiv w:val="1"/>
      <w:marLeft w:val="0"/>
      <w:marRight w:val="0"/>
      <w:marTop w:val="0"/>
      <w:marBottom w:val="0"/>
      <w:divBdr>
        <w:top w:val="none" w:sz="0" w:space="0" w:color="auto"/>
        <w:left w:val="none" w:sz="0" w:space="0" w:color="auto"/>
        <w:bottom w:val="none" w:sz="0" w:space="0" w:color="auto"/>
        <w:right w:val="none" w:sz="0" w:space="0" w:color="auto"/>
      </w:divBdr>
    </w:div>
    <w:div w:id="1360231215">
      <w:bodyDiv w:val="1"/>
      <w:marLeft w:val="0"/>
      <w:marRight w:val="0"/>
      <w:marTop w:val="0"/>
      <w:marBottom w:val="0"/>
      <w:divBdr>
        <w:top w:val="none" w:sz="0" w:space="0" w:color="auto"/>
        <w:left w:val="none" w:sz="0" w:space="0" w:color="auto"/>
        <w:bottom w:val="none" w:sz="0" w:space="0" w:color="auto"/>
        <w:right w:val="none" w:sz="0" w:space="0" w:color="auto"/>
      </w:divBdr>
    </w:div>
    <w:div w:id="1398170666">
      <w:bodyDiv w:val="1"/>
      <w:marLeft w:val="0"/>
      <w:marRight w:val="0"/>
      <w:marTop w:val="0"/>
      <w:marBottom w:val="0"/>
      <w:divBdr>
        <w:top w:val="none" w:sz="0" w:space="0" w:color="auto"/>
        <w:left w:val="none" w:sz="0" w:space="0" w:color="auto"/>
        <w:bottom w:val="none" w:sz="0" w:space="0" w:color="auto"/>
        <w:right w:val="none" w:sz="0" w:space="0" w:color="auto"/>
      </w:divBdr>
    </w:div>
    <w:div w:id="1587109807">
      <w:bodyDiv w:val="1"/>
      <w:marLeft w:val="0"/>
      <w:marRight w:val="0"/>
      <w:marTop w:val="0"/>
      <w:marBottom w:val="0"/>
      <w:divBdr>
        <w:top w:val="none" w:sz="0" w:space="0" w:color="auto"/>
        <w:left w:val="none" w:sz="0" w:space="0" w:color="auto"/>
        <w:bottom w:val="none" w:sz="0" w:space="0" w:color="auto"/>
        <w:right w:val="none" w:sz="0" w:space="0" w:color="auto"/>
      </w:divBdr>
    </w:div>
    <w:div w:id="1594892967">
      <w:bodyDiv w:val="1"/>
      <w:marLeft w:val="0"/>
      <w:marRight w:val="0"/>
      <w:marTop w:val="0"/>
      <w:marBottom w:val="0"/>
      <w:divBdr>
        <w:top w:val="none" w:sz="0" w:space="0" w:color="auto"/>
        <w:left w:val="none" w:sz="0" w:space="0" w:color="auto"/>
        <w:bottom w:val="none" w:sz="0" w:space="0" w:color="auto"/>
        <w:right w:val="none" w:sz="0" w:space="0" w:color="auto"/>
      </w:divBdr>
    </w:div>
    <w:div w:id="1608460209">
      <w:bodyDiv w:val="1"/>
      <w:marLeft w:val="0"/>
      <w:marRight w:val="0"/>
      <w:marTop w:val="0"/>
      <w:marBottom w:val="0"/>
      <w:divBdr>
        <w:top w:val="none" w:sz="0" w:space="0" w:color="auto"/>
        <w:left w:val="none" w:sz="0" w:space="0" w:color="auto"/>
        <w:bottom w:val="none" w:sz="0" w:space="0" w:color="auto"/>
        <w:right w:val="none" w:sz="0" w:space="0" w:color="auto"/>
      </w:divBdr>
    </w:div>
    <w:div w:id="1799031044">
      <w:bodyDiv w:val="1"/>
      <w:marLeft w:val="0"/>
      <w:marRight w:val="0"/>
      <w:marTop w:val="0"/>
      <w:marBottom w:val="0"/>
      <w:divBdr>
        <w:top w:val="none" w:sz="0" w:space="0" w:color="auto"/>
        <w:left w:val="none" w:sz="0" w:space="0" w:color="auto"/>
        <w:bottom w:val="none" w:sz="0" w:space="0" w:color="auto"/>
        <w:right w:val="none" w:sz="0" w:space="0" w:color="auto"/>
      </w:divBdr>
    </w:div>
    <w:div w:id="1808357688">
      <w:bodyDiv w:val="1"/>
      <w:marLeft w:val="0"/>
      <w:marRight w:val="0"/>
      <w:marTop w:val="0"/>
      <w:marBottom w:val="0"/>
      <w:divBdr>
        <w:top w:val="none" w:sz="0" w:space="0" w:color="auto"/>
        <w:left w:val="none" w:sz="0" w:space="0" w:color="auto"/>
        <w:bottom w:val="none" w:sz="0" w:space="0" w:color="auto"/>
        <w:right w:val="none" w:sz="0" w:space="0" w:color="auto"/>
      </w:divBdr>
    </w:div>
    <w:div w:id="1921521008">
      <w:bodyDiv w:val="1"/>
      <w:marLeft w:val="0"/>
      <w:marRight w:val="0"/>
      <w:marTop w:val="0"/>
      <w:marBottom w:val="0"/>
      <w:divBdr>
        <w:top w:val="none" w:sz="0" w:space="0" w:color="auto"/>
        <w:left w:val="none" w:sz="0" w:space="0" w:color="auto"/>
        <w:bottom w:val="none" w:sz="0" w:space="0" w:color="auto"/>
        <w:right w:val="none" w:sz="0" w:space="0" w:color="auto"/>
      </w:divBdr>
    </w:div>
    <w:div w:id="1976328290">
      <w:bodyDiv w:val="1"/>
      <w:marLeft w:val="0"/>
      <w:marRight w:val="0"/>
      <w:marTop w:val="0"/>
      <w:marBottom w:val="0"/>
      <w:divBdr>
        <w:top w:val="none" w:sz="0" w:space="0" w:color="auto"/>
        <w:left w:val="none" w:sz="0" w:space="0" w:color="auto"/>
        <w:bottom w:val="none" w:sz="0" w:space="0" w:color="auto"/>
        <w:right w:val="none" w:sz="0" w:space="0" w:color="auto"/>
      </w:divBdr>
    </w:div>
    <w:div w:id="2014794135">
      <w:bodyDiv w:val="1"/>
      <w:marLeft w:val="0"/>
      <w:marRight w:val="0"/>
      <w:marTop w:val="0"/>
      <w:marBottom w:val="0"/>
      <w:divBdr>
        <w:top w:val="none" w:sz="0" w:space="0" w:color="auto"/>
        <w:left w:val="none" w:sz="0" w:space="0" w:color="auto"/>
        <w:bottom w:val="none" w:sz="0" w:space="0" w:color="auto"/>
        <w:right w:val="none" w:sz="0" w:space="0" w:color="auto"/>
      </w:divBdr>
    </w:div>
    <w:div w:id="2104647154">
      <w:bodyDiv w:val="1"/>
      <w:marLeft w:val="0"/>
      <w:marRight w:val="0"/>
      <w:marTop w:val="0"/>
      <w:marBottom w:val="0"/>
      <w:divBdr>
        <w:top w:val="none" w:sz="0" w:space="0" w:color="auto"/>
        <w:left w:val="none" w:sz="0" w:space="0" w:color="auto"/>
        <w:bottom w:val="none" w:sz="0" w:space="0" w:color="auto"/>
        <w:right w:val="none" w:sz="0" w:space="0" w:color="auto"/>
      </w:divBdr>
    </w:div>
    <w:div w:id="211432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7FF80-F1AE-494D-952A-A8808F974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NTTRANG</dc:creator>
  <cp:keywords/>
  <dc:description/>
  <cp:lastModifiedBy>Adim</cp:lastModifiedBy>
  <cp:revision>9</cp:revision>
  <dcterms:created xsi:type="dcterms:W3CDTF">2026-03-16T06:47:00Z</dcterms:created>
  <dcterms:modified xsi:type="dcterms:W3CDTF">2026-03-24T01:37:00Z</dcterms:modified>
</cp:coreProperties>
</file>